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E7E5FD9" w:rsidR="00E66558" w:rsidRDefault="001D4D9A">
      <w:pPr>
        <w:pStyle w:val="Heading1"/>
      </w:pPr>
      <w:bookmarkStart w:id="0" w:name="_Toc400361362"/>
      <w:bookmarkStart w:id="1" w:name="_Toc443397153"/>
      <w:bookmarkStart w:id="2" w:name="_Toc357771638"/>
      <w:bookmarkStart w:id="3" w:name="_Toc346793416"/>
      <w:bookmarkStart w:id="4" w:name="_Toc328122777"/>
      <w:r>
        <w:t xml:space="preserve">Chaucer Primary School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AB069C5" w:rsidR="00E66558" w:rsidRDefault="0058036A">
            <w:pPr>
              <w:pStyle w:val="TableRow"/>
            </w:pPr>
            <w:r>
              <w:t>Chaucer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67EB4B0" w:rsidR="00E66558" w:rsidRDefault="0058036A">
            <w:pPr>
              <w:pStyle w:val="TableRow"/>
            </w:pPr>
            <w:r>
              <w:t>262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1D17446" w:rsidR="00E66558" w:rsidRDefault="003D5FA4">
            <w:pPr>
              <w:pStyle w:val="TableRow"/>
            </w:pPr>
            <w:r>
              <w:t>49%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3F0C7BC" w:rsidR="00E66558" w:rsidRDefault="0058036A">
            <w:pPr>
              <w:pStyle w:val="TableRow"/>
            </w:pPr>
            <w:r>
              <w:t>2021</w:t>
            </w:r>
            <w:r w:rsidR="00570C39">
              <w:t>/ 2022 to 2024/25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3CB2697" w:rsidR="00E66558" w:rsidRDefault="00570C39">
            <w:pPr>
              <w:pStyle w:val="TableRow"/>
            </w:pPr>
            <w:r>
              <w:t>December</w:t>
            </w:r>
            <w:r w:rsidR="0058036A">
              <w:t xml:space="preserve">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B74F67C" w:rsidR="00E66558" w:rsidRDefault="0058036A">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AE1B040" w:rsidR="00E66558" w:rsidRDefault="0058036A" w:rsidP="0058036A">
            <w:pPr>
              <w:pStyle w:val="TableRow"/>
            </w:pPr>
            <w:r>
              <w:t>Claire Murphy</w:t>
            </w:r>
            <w:r w:rsidR="00705E57">
              <w:t>,</w:t>
            </w:r>
            <w:r>
              <w:t xml:space="preserve"> He</w:t>
            </w:r>
            <w:r w:rsidR="00570C39">
              <w:t xml:space="preserve">adteacher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8E892A5" w:rsidR="00E66558" w:rsidRDefault="0058036A">
            <w:pPr>
              <w:pStyle w:val="TableRow"/>
            </w:pPr>
            <w:r>
              <w:t xml:space="preserve">Claire Murphy </w:t>
            </w:r>
            <w:r w:rsidR="00570C39">
              <w:t>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2031EE4" w:rsidR="00E66558" w:rsidRDefault="0058036A">
            <w:pPr>
              <w:pStyle w:val="TableRow"/>
            </w:pPr>
            <w:r>
              <w:t xml:space="preserve">Glenn Holt </w:t>
            </w:r>
            <w:r w:rsidR="003B1DC9">
              <w:t>Link Governor</w:t>
            </w:r>
            <w:r w:rsidR="00570C39">
              <w:t xml:space="preserve"> </w:t>
            </w:r>
            <w:proofErr w:type="spellStart"/>
            <w:r w:rsidR="00570C39">
              <w:t>fpr</w:t>
            </w:r>
            <w:proofErr w:type="spellEnd"/>
            <w:r w:rsidR="00570C39">
              <w:t xml:space="preserve"> disadvantaged pupils</w:t>
            </w:r>
          </w:p>
        </w:tc>
      </w:tr>
      <w:bookmarkEnd w:id="2"/>
      <w:bookmarkEnd w:id="3"/>
      <w:bookmarkEnd w:id="4"/>
    </w:tbl>
    <w:p w14:paraId="0AB8EABF" w14:textId="77777777" w:rsidR="005C5ED8" w:rsidRDefault="005C5ED8">
      <w:pPr>
        <w:spacing w:before="480" w:line="240" w:lineRule="auto"/>
        <w:rPr>
          <w:b/>
          <w:color w:val="104F75"/>
          <w:sz w:val="32"/>
          <w:szCs w:val="32"/>
        </w:rPr>
      </w:pPr>
    </w:p>
    <w:p w14:paraId="244DF16E" w14:textId="77777777" w:rsidR="005C5ED8" w:rsidRDefault="005C5ED8">
      <w:pPr>
        <w:spacing w:before="480" w:line="240" w:lineRule="auto"/>
        <w:rPr>
          <w:b/>
          <w:color w:val="104F75"/>
          <w:sz w:val="32"/>
          <w:szCs w:val="32"/>
        </w:rPr>
      </w:pPr>
    </w:p>
    <w:p w14:paraId="2A7D54D3" w14:textId="731268DE" w:rsidR="00E66558" w:rsidRDefault="009D71E8">
      <w:pPr>
        <w:spacing w:before="480" w:line="240" w:lineRule="auto"/>
        <w:rPr>
          <w:b/>
          <w:color w:val="104F75"/>
          <w:sz w:val="32"/>
          <w:szCs w:val="32"/>
        </w:rPr>
      </w:pPr>
      <w:r>
        <w:rPr>
          <w:b/>
          <w:color w:val="104F75"/>
          <w:sz w:val="32"/>
          <w:szCs w:val="32"/>
        </w:rPr>
        <w:t>Funding overview</w:t>
      </w:r>
    </w:p>
    <w:tbl>
      <w:tblPr>
        <w:tblW w:w="14596" w:type="dxa"/>
        <w:tblCellMar>
          <w:left w:w="10" w:type="dxa"/>
          <w:right w:w="10" w:type="dxa"/>
        </w:tblCellMar>
        <w:tblLook w:val="04A0" w:firstRow="1" w:lastRow="0" w:firstColumn="1" w:lastColumn="0" w:noHBand="0" w:noVBand="1"/>
      </w:tblPr>
      <w:tblGrid>
        <w:gridCol w:w="8784"/>
        <w:gridCol w:w="5812"/>
      </w:tblGrid>
      <w:tr w:rsidR="00E66558" w14:paraId="2A7D54D6" w14:textId="77777777" w:rsidTr="001D4D9A">
        <w:trPr>
          <w:trHeight w:val="374"/>
        </w:trPr>
        <w:tc>
          <w:tcPr>
            <w:tcW w:w="87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1D4D9A">
        <w:trPr>
          <w:trHeight w:val="374"/>
        </w:trPr>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B659A37" w:rsidR="00E66558" w:rsidRDefault="009D71E8">
            <w:pPr>
              <w:pStyle w:val="TableRow"/>
            </w:pPr>
            <w:r>
              <w:t>£</w:t>
            </w:r>
            <w:r w:rsidR="003D5FA4">
              <w:t xml:space="preserve"> 177</w:t>
            </w:r>
            <w:r w:rsidR="00570C39">
              <w:t xml:space="preserve">, </w:t>
            </w:r>
            <w:r w:rsidR="003D5FA4">
              <w:t>267</w:t>
            </w:r>
          </w:p>
        </w:tc>
      </w:tr>
      <w:tr w:rsidR="00E66558" w14:paraId="2A7D54DC" w14:textId="77777777" w:rsidTr="001D4D9A">
        <w:trPr>
          <w:trHeight w:val="374"/>
        </w:trPr>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5B2FC85" w:rsidR="00E66558" w:rsidRDefault="009D71E8">
            <w:pPr>
              <w:pStyle w:val="TableRow"/>
            </w:pPr>
            <w:r>
              <w:t>£</w:t>
            </w:r>
            <w:r w:rsidR="003D5FA4" w:rsidRPr="00570C39">
              <w:rPr>
                <w:shd w:val="clear" w:color="auto" w:fill="FFFF00"/>
              </w:rPr>
              <w:t xml:space="preserve"> 9425</w:t>
            </w:r>
          </w:p>
        </w:tc>
      </w:tr>
      <w:tr w:rsidR="00E66558" w14:paraId="2A7D54DF" w14:textId="77777777" w:rsidTr="001D4D9A">
        <w:trPr>
          <w:trHeight w:val="374"/>
        </w:trPr>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4915D28" w:rsidR="00E66558" w:rsidRDefault="009D71E8">
            <w:pPr>
              <w:pStyle w:val="TableRow"/>
            </w:pPr>
            <w:r>
              <w:t>£</w:t>
            </w:r>
            <w:r w:rsidR="003D5FA4">
              <w:t xml:space="preserve"> 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4029" w:type="dxa"/>
        <w:tblCellMar>
          <w:left w:w="10" w:type="dxa"/>
          <w:right w:w="10" w:type="dxa"/>
        </w:tblCellMar>
        <w:tblLook w:val="04A0" w:firstRow="1" w:lastRow="0" w:firstColumn="1" w:lastColumn="0" w:noHBand="0" w:noVBand="1"/>
      </w:tblPr>
      <w:tblGrid>
        <w:gridCol w:w="14029"/>
      </w:tblGrid>
      <w:tr w:rsidR="00E66558" w14:paraId="2A7D54EA" w14:textId="77777777" w:rsidTr="001D4D9A">
        <w:tc>
          <w:tcPr>
            <w:tcW w:w="14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E7673" w14:textId="77777777" w:rsidR="00570C39" w:rsidRPr="00E27862" w:rsidRDefault="00570C39" w:rsidP="00570C39">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attainers. </w:t>
            </w:r>
          </w:p>
          <w:p w14:paraId="52630693" w14:textId="77777777" w:rsidR="00570C39" w:rsidRPr="00E27862" w:rsidRDefault="00570C39" w:rsidP="00570C39">
            <w:pPr>
              <w:spacing w:before="120"/>
              <w:rPr>
                <w:rFonts w:cs="Arial"/>
                <w:iCs/>
                <w:color w:val="auto"/>
              </w:rPr>
            </w:pPr>
            <w:r w:rsidRPr="00E27862">
              <w:rPr>
                <w:rFonts w:cs="Arial"/>
                <w:iCs/>
                <w:color w:val="auto"/>
                <w:lang w:val="en-US"/>
              </w:rPr>
              <w:t xml:space="preserve">We will consider the challenges faced by vulnerable pupils, such as those who have a social worker and young </w:t>
            </w:r>
            <w:proofErr w:type="spellStart"/>
            <w:r w:rsidRPr="00E27862">
              <w:rPr>
                <w:rFonts w:cs="Arial"/>
                <w:iCs/>
                <w:color w:val="auto"/>
                <w:lang w:val="en-US"/>
              </w:rPr>
              <w:t>carers</w:t>
            </w:r>
            <w:proofErr w:type="spellEnd"/>
            <w:r w:rsidRPr="00E27862">
              <w:rPr>
                <w:rFonts w:cs="Arial"/>
                <w:iCs/>
                <w:color w:val="auto"/>
                <w:lang w:val="en-US"/>
              </w:rPr>
              <w:t>. The activity we have outlined in this statement is also intended to support their needs, regardless of whether they are disadvantaged or not.</w:t>
            </w:r>
          </w:p>
          <w:p w14:paraId="3C00055A" w14:textId="77777777" w:rsidR="00570C39" w:rsidRPr="00E27862" w:rsidRDefault="00570C39" w:rsidP="00570C39">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67DA2044" w14:textId="77777777" w:rsidR="00570C39" w:rsidRPr="00E27862" w:rsidRDefault="00570C39" w:rsidP="00570C39">
            <w:pPr>
              <w:rPr>
                <w:rFonts w:cs="Arial"/>
                <w:color w:val="auto"/>
              </w:rPr>
            </w:pPr>
            <w:r w:rsidRPr="00E27862">
              <w:rPr>
                <w:rFonts w:cs="Arial"/>
                <w:color w:val="auto"/>
              </w:rPr>
              <w:t xml:space="preserve">Our strategy is also integral to wider school plans for education recovery, notably in its targeted support through the National Tutoring Programme for pupils whose education has been worst affected, including non-disadvantaged pupils.    </w:t>
            </w:r>
          </w:p>
          <w:p w14:paraId="3614B0FD" w14:textId="77777777" w:rsidR="00570C39" w:rsidRPr="00E27862" w:rsidRDefault="00570C39" w:rsidP="00570C39">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52D69D0C" w14:textId="77777777" w:rsidR="00570C39" w:rsidRPr="00E27862" w:rsidRDefault="00570C39" w:rsidP="00570C39">
            <w:pPr>
              <w:numPr>
                <w:ilvl w:val="0"/>
                <w:numId w:val="15"/>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0E53A59C" w14:textId="77777777" w:rsidR="00570C39" w:rsidRPr="00E27862" w:rsidRDefault="00570C39" w:rsidP="00570C39">
            <w:pPr>
              <w:numPr>
                <w:ilvl w:val="0"/>
                <w:numId w:val="15"/>
              </w:numPr>
              <w:suppressAutoHyphens w:val="0"/>
              <w:autoSpaceDN/>
              <w:contextualSpacing/>
              <w:rPr>
                <w:rFonts w:cs="Arial"/>
                <w:iCs/>
                <w:color w:val="auto"/>
                <w:lang w:val="en-US"/>
              </w:rPr>
            </w:pPr>
            <w:r w:rsidRPr="00E27862">
              <w:rPr>
                <w:rFonts w:cs="Arial"/>
                <w:color w:val="auto"/>
              </w:rPr>
              <w:t>act early to intervene at the point need is identified</w:t>
            </w:r>
          </w:p>
          <w:p w14:paraId="5BFF6001" w14:textId="3A0519C1" w:rsidR="00570C39" w:rsidRDefault="00570C39" w:rsidP="00570C39">
            <w:pPr>
              <w:rPr>
                <w:i/>
                <w:iCs/>
              </w:rPr>
            </w:pPr>
            <w:r w:rsidRPr="00E27862">
              <w:rPr>
                <w:rFonts w:cs="Arial"/>
                <w:color w:val="auto"/>
              </w:rPr>
              <w:t>adopt a whole school approach in which all staff take responsibility for disadvantaged pupils’ outcomes and raise expectations of what they can achieve</w:t>
            </w:r>
          </w:p>
          <w:p w14:paraId="2A7D54E9" w14:textId="3898E113" w:rsidR="00570C39" w:rsidRPr="00570C39" w:rsidRDefault="00570C39" w:rsidP="00570C39">
            <w:pPr>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7261538" w:rsidR="00E66558" w:rsidRPr="00072A77" w:rsidRDefault="00B57245" w:rsidP="0022312B">
            <w:pPr>
              <w:suppressAutoHyphens w:val="0"/>
              <w:autoSpaceDN/>
              <w:spacing w:after="0" w:line="276" w:lineRule="auto"/>
            </w:pPr>
            <w:r>
              <w:t xml:space="preserve">On entry </w:t>
            </w:r>
            <w:r w:rsidR="0022312B">
              <w:t xml:space="preserve">to Reception </w:t>
            </w:r>
            <w:r>
              <w:t xml:space="preserve">baseline data </w:t>
            </w:r>
            <w:r w:rsidR="00570C39">
              <w:t xml:space="preserve">assessments and observations of pupils </w:t>
            </w:r>
            <w:r w:rsidR="00A94B21">
              <w:t>evidences low</w:t>
            </w:r>
            <w:r>
              <w:t xml:space="preserve"> speech and language skills </w:t>
            </w:r>
            <w:r w:rsidR="0022312B">
              <w:t xml:space="preserve">which have a direct </w:t>
            </w:r>
            <w:r>
              <w:t>impact on the acquisition of early phonic and reading skills</w:t>
            </w:r>
            <w:r w:rsidR="0022312B">
              <w:t>. Thi</w:t>
            </w:r>
            <w:r w:rsidR="00570C39">
              <w:t>s continues to impact into KS1 and beyond.</w:t>
            </w:r>
          </w:p>
        </w:tc>
      </w:tr>
      <w:tr w:rsidR="00F2583C" w14:paraId="289B9CD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0D215" w14:textId="220248FE" w:rsidR="00F2583C" w:rsidRDefault="00F2583C">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84352" w14:textId="0E583E1E" w:rsidR="00F2583C" w:rsidRDefault="00F2583C" w:rsidP="007A5DD9">
            <w:pPr>
              <w:suppressAutoHyphens w:val="0"/>
              <w:autoSpaceDN/>
              <w:spacing w:after="0" w:line="276" w:lineRule="auto"/>
            </w:pPr>
            <w:r w:rsidRPr="00E27862">
              <w:rPr>
                <w:color w:val="auto"/>
                <w:lang w:val="en-US"/>
              </w:rPr>
              <w:t>Assessments, observations, and discussions with pupils suggest disadvantaged pupils generally have greater difficulties with phonics than their peers. This negatively impacts their development as readers.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E858E4A" w:rsidR="00E66558" w:rsidRDefault="00F2583C">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08678E9" w:rsidR="00D24633" w:rsidRPr="00B57245" w:rsidRDefault="00B57245" w:rsidP="007A5DD9">
            <w:pPr>
              <w:suppressAutoHyphens w:val="0"/>
              <w:autoSpaceDN/>
              <w:spacing w:after="0" w:line="276" w:lineRule="auto"/>
            </w:pPr>
            <w:r>
              <w:t xml:space="preserve">Attainment </w:t>
            </w:r>
            <w:r w:rsidR="00570C39">
              <w:t xml:space="preserve">evidenced in statutory and non-statutory assessments </w:t>
            </w:r>
            <w:r>
              <w:t>of pupils eligible for pup</w:t>
            </w:r>
            <w:r w:rsidR="0022312B">
              <w:t>il premium is below that of non-</w:t>
            </w:r>
            <w:r>
              <w:t>pupil premi</w:t>
            </w:r>
            <w:r w:rsidR="00D24633">
              <w:t>um with the largest gap in reading</w:t>
            </w:r>
            <w:r w:rsidR="008F1E37">
              <w:t xml:space="preserv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04B3F79E" w:rsidR="00E66558" w:rsidRDefault="00E73BB0">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15C1200" w:rsidR="00E66558" w:rsidRPr="00B57245" w:rsidRDefault="00B57245" w:rsidP="00B57245">
            <w:pPr>
              <w:suppressAutoHyphens w:val="0"/>
              <w:autoSpaceDN/>
              <w:spacing w:after="0" w:line="276" w:lineRule="auto"/>
            </w:pPr>
            <w:r>
              <w:t>A proportion of pupils have social, behavioural and emotional issues which impact on progress and attainment</w:t>
            </w:r>
            <w:r w:rsidR="008F1E37">
              <w:t xml:space="preserve">- a larger proportion of these are pupil premium </w:t>
            </w:r>
            <w:r w:rsidR="007F7D44">
              <w:t xml:space="preserve">children.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36B03213" w:rsidR="00E66558" w:rsidRDefault="00E73BB0">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FAA96" w14:textId="226EC129" w:rsidR="00B57245" w:rsidRDefault="00F2583C" w:rsidP="00B57245">
            <w:pPr>
              <w:suppressAutoHyphens w:val="0"/>
              <w:autoSpaceDN/>
              <w:spacing w:after="0" w:line="276" w:lineRule="auto"/>
            </w:pPr>
            <w:r>
              <w:t>Our internal progress data highlights pupils with poor attendance and punctuality</w:t>
            </w:r>
            <w:r w:rsidR="00B57245">
              <w:t xml:space="preserve"> impacts on daily learning</w:t>
            </w:r>
            <w:r>
              <w:t xml:space="preserve"> which builds over time. P</w:t>
            </w:r>
            <w:r w:rsidR="008F1E37">
              <w:t xml:space="preserve">ersistent absence data </w:t>
            </w:r>
            <w:r>
              <w:t xml:space="preserve">and punctuality </w:t>
            </w:r>
            <w:r w:rsidR="008F1E37">
              <w:t>evidences all of these families receive pupil premium funding.</w:t>
            </w:r>
          </w:p>
          <w:p w14:paraId="2A7D54FA" w14:textId="77777777" w:rsidR="00E66558" w:rsidRDefault="00E66558">
            <w:pPr>
              <w:pStyle w:val="TableRowCentered"/>
              <w:jc w:val="left"/>
              <w:rPr>
                <w:iCs/>
                <w:sz w:val="22"/>
              </w:rPr>
            </w:pP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B52034C" w:rsidR="00E66558" w:rsidRDefault="007A5DD9">
            <w:pPr>
              <w:pStyle w:val="TableRow"/>
            </w:pPr>
            <w:r>
              <w:rPr>
                <w:sz w:val="22"/>
                <w:szCs w:val="22"/>
              </w:rPr>
              <w:t>Children close the gap with speech and language skills in the reception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850A35A" w:rsidR="00E66558" w:rsidRDefault="007A5DD9" w:rsidP="00883E43">
            <w:pPr>
              <w:pStyle w:val="TableRowCentered"/>
              <w:jc w:val="left"/>
              <w:rPr>
                <w:sz w:val="22"/>
                <w:szCs w:val="22"/>
              </w:rPr>
            </w:pPr>
            <w:r>
              <w:rPr>
                <w:sz w:val="22"/>
                <w:szCs w:val="22"/>
              </w:rPr>
              <w:t xml:space="preserve">Children begin KS1 with good language and vocabulary development </w:t>
            </w:r>
            <w:r w:rsidR="00883E43">
              <w:rPr>
                <w:sz w:val="22"/>
                <w:szCs w:val="22"/>
              </w:rPr>
              <w:t xml:space="preserve">due to the focus on speech and language screening and interventions </w:t>
            </w:r>
            <w:r>
              <w:rPr>
                <w:sz w:val="22"/>
                <w:szCs w:val="22"/>
              </w:rPr>
              <w:t>enabling them to make good progress in phonics and reading</w:t>
            </w:r>
          </w:p>
        </w:tc>
      </w:tr>
      <w:tr w:rsidR="004D7125" w14:paraId="3B74DBD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0D2C4" w14:textId="1D8DE895" w:rsidR="004D7125" w:rsidRDefault="004D7125">
            <w:pPr>
              <w:pStyle w:val="TableRow"/>
              <w:rPr>
                <w:sz w:val="22"/>
                <w:szCs w:val="22"/>
              </w:rPr>
            </w:pPr>
            <w:r>
              <w:rPr>
                <w:sz w:val="22"/>
                <w:szCs w:val="22"/>
              </w:rPr>
              <w:t>Children in the early years develop good early reading and phonics skills in order to ensure they are able to decode words and read well.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27B66" w14:textId="7DD8F888" w:rsidR="004D7125" w:rsidRDefault="004D7125" w:rsidP="00883E43">
            <w:pPr>
              <w:pStyle w:val="TableRowCentered"/>
              <w:jc w:val="left"/>
              <w:rPr>
                <w:sz w:val="22"/>
                <w:szCs w:val="22"/>
              </w:rPr>
            </w:pPr>
            <w:r>
              <w:rPr>
                <w:sz w:val="22"/>
                <w:szCs w:val="22"/>
              </w:rPr>
              <w:t>Statutory data across school in phonics and reading evidences attainment at least in line with national averages.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E90372E" w:rsidR="00E66558" w:rsidRDefault="007A5DD9">
            <w:pPr>
              <w:pStyle w:val="TableRow"/>
              <w:rPr>
                <w:sz w:val="22"/>
                <w:szCs w:val="22"/>
              </w:rPr>
            </w:pPr>
            <w:r>
              <w:rPr>
                <w:sz w:val="22"/>
                <w:szCs w:val="22"/>
              </w:rPr>
              <w:t xml:space="preserve">Attainment of pupil premium children is at least in line with national averages in reading.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6B5B716" w:rsidR="00E66558" w:rsidRDefault="004D7125">
            <w:pPr>
              <w:pStyle w:val="TableRowCentered"/>
              <w:jc w:val="left"/>
              <w:rPr>
                <w:sz w:val="22"/>
                <w:szCs w:val="22"/>
              </w:rPr>
            </w:pPr>
            <w:r>
              <w:rPr>
                <w:sz w:val="22"/>
                <w:szCs w:val="22"/>
              </w:rPr>
              <w:t>Children read for pleasure and understanding and have developed fluency in reading across school. Statutory and internal data evidences reading and phonics data is in line with national averages and reflects good teaching across school.</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75835F2" w:rsidR="00E66558" w:rsidRDefault="00BA64D0">
            <w:pPr>
              <w:pStyle w:val="TableRow"/>
              <w:rPr>
                <w:sz w:val="22"/>
                <w:szCs w:val="22"/>
              </w:rPr>
            </w:pPr>
            <w:r>
              <w:rPr>
                <w:sz w:val="22"/>
                <w:szCs w:val="22"/>
              </w:rPr>
              <w:t xml:space="preserve">Children with behavioural, social and emotional needs are supported well to make good progress across the curriculum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C91C0" w14:textId="77777777" w:rsidR="00E66558" w:rsidRDefault="00BA64D0">
            <w:pPr>
              <w:pStyle w:val="TableRowCentered"/>
              <w:jc w:val="left"/>
              <w:rPr>
                <w:sz w:val="22"/>
                <w:szCs w:val="22"/>
              </w:rPr>
            </w:pPr>
            <w:r>
              <w:rPr>
                <w:sz w:val="22"/>
                <w:szCs w:val="22"/>
              </w:rPr>
              <w:t xml:space="preserve">Children with social and emotional behavioural needs are supported by trained staff </w:t>
            </w:r>
            <w:r w:rsidR="00DF448F">
              <w:rPr>
                <w:sz w:val="22"/>
                <w:szCs w:val="22"/>
              </w:rPr>
              <w:t xml:space="preserve">and make good progress across school evidenced in internal and statutory data. </w:t>
            </w:r>
          </w:p>
          <w:p w14:paraId="2BD5B459" w14:textId="77777777" w:rsidR="004D7125" w:rsidRPr="00E27862" w:rsidRDefault="004D7125" w:rsidP="004D7125">
            <w:pPr>
              <w:pStyle w:val="ListParagraph"/>
              <w:numPr>
                <w:ilvl w:val="0"/>
                <w:numId w:val="16"/>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 student voice, student and parent surveys and teacher observations</w:t>
            </w:r>
          </w:p>
          <w:p w14:paraId="2A7D550E" w14:textId="56AE4F7F" w:rsidR="004D7125" w:rsidRDefault="004D7125">
            <w:pPr>
              <w:pStyle w:val="TableRowCentered"/>
              <w:jc w:val="left"/>
              <w:rPr>
                <w:sz w:val="22"/>
                <w:szCs w:val="22"/>
              </w:rPr>
            </w:pPr>
          </w:p>
        </w:tc>
      </w:tr>
      <w:tr w:rsidR="00883E43" w14:paraId="673AF69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55D48" w14:textId="409842F6" w:rsidR="00883E43" w:rsidRDefault="003719FC">
            <w:pPr>
              <w:pStyle w:val="TableRow"/>
              <w:rPr>
                <w:sz w:val="22"/>
                <w:szCs w:val="22"/>
              </w:rPr>
            </w:pPr>
            <w:r>
              <w:rPr>
                <w:sz w:val="22"/>
                <w:szCs w:val="22"/>
              </w:rPr>
              <w:t xml:space="preserve">The vast majority of children have good attendance and punctuality and as a result have good outcomes.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874F0" w14:textId="296B0E22" w:rsidR="00883E43" w:rsidRDefault="003719FC">
            <w:pPr>
              <w:pStyle w:val="TableRowCentered"/>
              <w:jc w:val="left"/>
              <w:rPr>
                <w:sz w:val="22"/>
                <w:szCs w:val="22"/>
              </w:rPr>
            </w:pPr>
            <w:r>
              <w:rPr>
                <w:sz w:val="22"/>
                <w:szCs w:val="22"/>
              </w:rPr>
              <w:t xml:space="preserve">Children have good attendance and punctuality due to the supportive actions and high expectations of the school and external support.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1293069" w:rsidR="00E66558" w:rsidRDefault="003719FC">
      <w:r>
        <w:t>Budgeted cost: £</w:t>
      </w:r>
      <w:r w:rsidR="00ED3997">
        <w:t>6</w:t>
      </w:r>
      <w:r w:rsidR="00695629">
        <w:t>1,</w:t>
      </w:r>
      <w:r w:rsidR="00ED3997">
        <w:t>000</w:t>
      </w:r>
    </w:p>
    <w:tbl>
      <w:tblPr>
        <w:tblW w:w="5000" w:type="pct"/>
        <w:tblLayout w:type="fixed"/>
        <w:tblCellMar>
          <w:left w:w="10" w:type="dxa"/>
          <w:right w:w="10" w:type="dxa"/>
        </w:tblCellMar>
        <w:tblLook w:val="04A0" w:firstRow="1" w:lastRow="0" w:firstColumn="1" w:lastColumn="0" w:noHBand="0" w:noVBand="1"/>
      </w:tblPr>
      <w:tblGrid>
        <w:gridCol w:w="3039"/>
        <w:gridCol w:w="9137"/>
        <w:gridCol w:w="2384"/>
      </w:tblGrid>
      <w:tr w:rsidR="00FE73B9" w14:paraId="2A7D5519" w14:textId="77777777" w:rsidTr="00D06C98">
        <w:tc>
          <w:tcPr>
            <w:tcW w:w="30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91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3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FE73B9" w14:paraId="2A7D551D" w14:textId="77777777" w:rsidTr="00D06C98">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6484A" w14:textId="77777777" w:rsidR="001D4D9A" w:rsidRDefault="001D4D9A" w:rsidP="00A0098E">
            <w:pPr>
              <w:pStyle w:val="TableRow"/>
              <w:ind w:left="0"/>
              <w:rPr>
                <w:iCs/>
                <w:sz w:val="22"/>
                <w:szCs w:val="22"/>
              </w:rPr>
            </w:pPr>
          </w:p>
          <w:p w14:paraId="7F67619F" w14:textId="77777777" w:rsidR="004F07CD" w:rsidRDefault="001D4D9A" w:rsidP="001D4D9A">
            <w:pPr>
              <w:suppressAutoHyphens w:val="0"/>
              <w:autoSpaceDN/>
              <w:spacing w:before="60" w:after="0" w:line="240" w:lineRule="auto"/>
              <w:ind w:left="29"/>
              <w:rPr>
                <w:rFonts w:cs="Arial"/>
                <w:iCs/>
                <w:color w:val="auto"/>
                <w:lang w:val="en-US" w:eastAsia="en-US"/>
              </w:rPr>
            </w:pPr>
            <w:r w:rsidRPr="00F2110A">
              <w:rPr>
                <w:rFonts w:cs="Arial"/>
                <w:iCs/>
                <w:color w:val="auto"/>
                <w:lang w:val="en-US" w:eastAsia="en-US"/>
              </w:rPr>
              <w:t xml:space="preserve">Improve the quality of </w:t>
            </w:r>
          </w:p>
          <w:p w14:paraId="28E040DD" w14:textId="60462E34" w:rsidR="001D4D9A" w:rsidRPr="00F2110A" w:rsidRDefault="001D4D9A" w:rsidP="001D4D9A">
            <w:pPr>
              <w:suppressAutoHyphens w:val="0"/>
              <w:autoSpaceDN/>
              <w:spacing w:before="60" w:after="0" w:line="240" w:lineRule="auto"/>
              <w:ind w:left="29"/>
              <w:rPr>
                <w:rFonts w:cs="Arial"/>
                <w:iCs/>
                <w:color w:val="auto"/>
                <w:lang w:val="en-US" w:eastAsia="en-US"/>
              </w:rPr>
            </w:pPr>
            <w:r w:rsidRPr="00F2110A">
              <w:rPr>
                <w:rFonts w:cs="Arial"/>
                <w:iCs/>
                <w:color w:val="auto"/>
                <w:lang w:val="en-US" w:eastAsia="en-US"/>
              </w:rPr>
              <w:t>social and emotional (SEL) learning.</w:t>
            </w:r>
          </w:p>
          <w:p w14:paraId="3E251FC6" w14:textId="77777777" w:rsidR="001D4D9A" w:rsidRPr="00F2110A" w:rsidRDefault="001D4D9A" w:rsidP="001D4D9A">
            <w:pPr>
              <w:suppressAutoHyphens w:val="0"/>
              <w:autoSpaceDN/>
              <w:spacing w:after="0" w:line="240" w:lineRule="auto"/>
              <w:rPr>
                <w:rFonts w:cs="Arial"/>
                <w:iCs/>
                <w:color w:val="auto"/>
                <w:lang w:val="en-US" w:eastAsia="en-US"/>
              </w:rPr>
            </w:pPr>
          </w:p>
          <w:p w14:paraId="5BA06B3A" w14:textId="3140BF54" w:rsidR="001D4D9A" w:rsidRDefault="001D4D9A" w:rsidP="001D4D9A">
            <w:pPr>
              <w:pStyle w:val="TableRow"/>
              <w:ind w:left="0"/>
              <w:rPr>
                <w:iCs/>
                <w:sz w:val="22"/>
                <w:szCs w:val="22"/>
              </w:rPr>
            </w:pPr>
            <w:r w:rsidRPr="00F2110A">
              <w:rPr>
                <w:rFonts w:cs="Arial"/>
                <w:iCs/>
                <w:color w:val="auto"/>
                <w:lang w:val="en-US" w:eastAsia="en-US"/>
              </w:rPr>
              <w:t>SEL approaches will be embedded into routine educational practices and supported by professional development and training for staff.</w:t>
            </w:r>
          </w:p>
          <w:p w14:paraId="5C5D3FB1" w14:textId="77777777" w:rsidR="001D4D9A" w:rsidRDefault="001D4D9A" w:rsidP="00A0098E">
            <w:pPr>
              <w:pStyle w:val="TableRow"/>
              <w:ind w:left="0"/>
              <w:rPr>
                <w:iCs/>
                <w:sz w:val="22"/>
                <w:szCs w:val="22"/>
              </w:rPr>
            </w:pPr>
          </w:p>
          <w:p w14:paraId="2EAFC9DF" w14:textId="77777777" w:rsidR="001D4D9A" w:rsidRDefault="001D4D9A" w:rsidP="00A0098E">
            <w:pPr>
              <w:pStyle w:val="TableRow"/>
              <w:ind w:left="0"/>
              <w:rPr>
                <w:iCs/>
                <w:sz w:val="22"/>
                <w:szCs w:val="22"/>
              </w:rPr>
            </w:pPr>
          </w:p>
          <w:p w14:paraId="2A7D551A" w14:textId="00614564" w:rsidR="005B25F6" w:rsidRPr="00E73BB0" w:rsidRDefault="00FE73B9" w:rsidP="00A0098E">
            <w:pPr>
              <w:pStyle w:val="TableRow"/>
              <w:ind w:left="0"/>
            </w:pPr>
            <w:r w:rsidRPr="00E73BB0">
              <w:rPr>
                <w:iCs/>
                <w:sz w:val="22"/>
                <w:szCs w:val="22"/>
              </w:rPr>
              <w:t>Training and development for b</w:t>
            </w:r>
            <w:r w:rsidR="005B25F6" w:rsidRPr="00E73BB0">
              <w:rPr>
                <w:iCs/>
                <w:sz w:val="22"/>
                <w:szCs w:val="22"/>
              </w:rPr>
              <w:t xml:space="preserve">ehaviour support and interventions for individuals and groups of children by trained staff and external providers </w:t>
            </w:r>
          </w:p>
        </w:tc>
        <w:tc>
          <w:tcPr>
            <w:tcW w:w="9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54491" w14:textId="3ECFEB13" w:rsidR="005B25F6" w:rsidRDefault="00D41AFA" w:rsidP="00705E57">
            <w:pPr>
              <w:pStyle w:val="TableRowCentered"/>
              <w:ind w:left="0"/>
              <w:jc w:val="left"/>
              <w:rPr>
                <w:rFonts w:ascii="Helvetica" w:hAnsi="Helvetica" w:cs="Helvetica"/>
                <w:color w:val="263238"/>
                <w:sz w:val="30"/>
                <w:szCs w:val="30"/>
                <w:shd w:val="clear" w:color="auto" w:fill="FFFFFF"/>
              </w:rPr>
            </w:pPr>
            <w:hyperlink r:id="rId7" w:history="1">
              <w:r w:rsidR="005B25F6" w:rsidRPr="005B25F6">
                <w:rPr>
                  <w:rStyle w:val="Hyperlink"/>
                  <w:sz w:val="22"/>
                </w:rPr>
                <w:t>https://educationendowmentfoundation.org.uk/education-evidence/teaching-learning-toolkit/social-and-emotional-learning</w:t>
              </w:r>
            </w:hyperlink>
            <w:r w:rsidR="005B25F6">
              <w:rPr>
                <w:rFonts w:ascii="Helvetica" w:hAnsi="Helvetica" w:cs="Helvetica"/>
                <w:color w:val="263238"/>
                <w:sz w:val="30"/>
                <w:szCs w:val="30"/>
                <w:shd w:val="clear" w:color="auto" w:fill="FFFFFF"/>
              </w:rPr>
              <w:t xml:space="preserve"> </w:t>
            </w:r>
          </w:p>
          <w:p w14:paraId="16771404" w14:textId="26B2975B" w:rsidR="00457EE4" w:rsidRPr="00E73BB0" w:rsidRDefault="005B25F6" w:rsidP="00705E57">
            <w:pPr>
              <w:pStyle w:val="TableRowCentered"/>
              <w:ind w:left="0"/>
              <w:jc w:val="left"/>
              <w:rPr>
                <w:rFonts w:cs="Arial"/>
                <w:sz w:val="22"/>
                <w:szCs w:val="22"/>
              </w:rPr>
            </w:pPr>
            <w:r w:rsidRPr="00E73BB0">
              <w:rPr>
                <w:rFonts w:cs="Arial"/>
                <w:color w:val="263238"/>
                <w:sz w:val="22"/>
                <w:szCs w:val="22"/>
                <w:shd w:val="clear" w:color="auto" w:fill="FFFFFF"/>
              </w:rPr>
              <w:t>Social and emotional learning (SEL) interventions seek to improve pupils’ decision-making skills, interaction with others and their self-management of emotions, rather than focusing directly on the academic or cognitive elements of learning.</w:t>
            </w:r>
          </w:p>
          <w:p w14:paraId="68227921" w14:textId="77777777" w:rsidR="005B25F6" w:rsidRDefault="00D41AFA" w:rsidP="005B25F6">
            <w:pPr>
              <w:pStyle w:val="TableRowCentered"/>
              <w:jc w:val="left"/>
              <w:rPr>
                <w:sz w:val="22"/>
              </w:rPr>
            </w:pPr>
            <w:hyperlink r:id="rId8" w:history="1">
              <w:r w:rsidR="005B25F6" w:rsidRPr="00E87DB2">
                <w:rPr>
                  <w:rStyle w:val="Hyperlink"/>
                  <w:sz w:val="22"/>
                </w:rPr>
                <w:t>https://educationendowmentfoundation.org.uk/education-evidence/early-years-toolkit/self-regulation-strategies</w:t>
              </w:r>
            </w:hyperlink>
          </w:p>
          <w:p w14:paraId="38494573" w14:textId="5687B58B" w:rsidR="005B25F6" w:rsidRDefault="005B25F6" w:rsidP="00705E57">
            <w:pPr>
              <w:pStyle w:val="TableRowCentered"/>
              <w:ind w:left="0"/>
              <w:jc w:val="left"/>
              <w:rPr>
                <w:sz w:val="22"/>
              </w:rPr>
            </w:pPr>
            <w:r>
              <w:rPr>
                <w:sz w:val="22"/>
              </w:rPr>
              <w:t>Self</w:t>
            </w:r>
            <w:r w:rsidR="00D06C98">
              <w:rPr>
                <w:sz w:val="22"/>
              </w:rPr>
              <w:t>-</w:t>
            </w:r>
            <w:r>
              <w:rPr>
                <w:sz w:val="22"/>
              </w:rPr>
              <w:t>regulation developed in the early years</w:t>
            </w:r>
          </w:p>
          <w:p w14:paraId="64CDB895" w14:textId="2FABEE77" w:rsidR="00754A0F" w:rsidRDefault="00754A0F" w:rsidP="00705E57">
            <w:pPr>
              <w:pStyle w:val="TableRowCentered"/>
              <w:ind w:left="0"/>
              <w:jc w:val="left"/>
              <w:rPr>
                <w:sz w:val="22"/>
              </w:rPr>
            </w:pPr>
          </w:p>
          <w:p w14:paraId="54692E64" w14:textId="77777777" w:rsidR="005B25F6" w:rsidRDefault="005B25F6" w:rsidP="00705E57">
            <w:pPr>
              <w:pStyle w:val="TableRowCentered"/>
              <w:ind w:left="0"/>
              <w:jc w:val="left"/>
              <w:rPr>
                <w:sz w:val="22"/>
              </w:rPr>
            </w:pPr>
          </w:p>
          <w:p w14:paraId="5431AE4B" w14:textId="77777777" w:rsidR="001D4D9A" w:rsidRDefault="001D4D9A" w:rsidP="00705E57">
            <w:pPr>
              <w:pStyle w:val="TableRowCentered"/>
              <w:ind w:left="0"/>
              <w:jc w:val="left"/>
              <w:rPr>
                <w:sz w:val="22"/>
              </w:rPr>
            </w:pPr>
          </w:p>
          <w:p w14:paraId="10F85E52" w14:textId="77777777" w:rsidR="001D4D9A" w:rsidRPr="00F2110A" w:rsidRDefault="001D4D9A" w:rsidP="001D4D9A">
            <w:pPr>
              <w:spacing w:before="60" w:after="60" w:line="240" w:lineRule="auto"/>
              <w:ind w:left="57" w:right="57"/>
              <w:rPr>
                <w:rFonts w:cs="Arial"/>
                <w:color w:val="auto"/>
              </w:rPr>
            </w:pPr>
            <w:r w:rsidRPr="00F2110A">
              <w:rPr>
                <w:rFonts w:cs="Arial"/>
                <w:color w:val="auto"/>
              </w:rPr>
              <w:t>There is extensive evidence associating childhood social and emotional skills with improved outcomes at school and in later life (e.g., improved academic performance, attitudes, behaviour and relationships with peers):</w:t>
            </w:r>
          </w:p>
          <w:p w14:paraId="2A7D551B" w14:textId="234738EC" w:rsidR="001D4D9A" w:rsidRDefault="00D41AFA" w:rsidP="001D4D9A">
            <w:pPr>
              <w:pStyle w:val="TableRowCentered"/>
              <w:ind w:left="0"/>
              <w:jc w:val="left"/>
              <w:rPr>
                <w:sz w:val="22"/>
              </w:rPr>
            </w:pPr>
            <w:hyperlink r:id="rId9" w:history="1">
              <w:r w:rsidR="001D4D9A" w:rsidRPr="00F2110A">
                <w:rPr>
                  <w:color w:val="0070C0"/>
                  <w:szCs w:val="24"/>
                  <w:u w:val="single"/>
                </w:rPr>
                <w:t>EEF_Social_and_Emotional_Learning.pdf(educationendowmentfoundation.org.uk)</w:t>
              </w:r>
            </w:hyperlink>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53215F5" w:rsidR="00E66558" w:rsidRDefault="001D4D9A">
            <w:pPr>
              <w:pStyle w:val="TableRowCentered"/>
              <w:jc w:val="left"/>
              <w:rPr>
                <w:sz w:val="22"/>
              </w:rPr>
            </w:pPr>
            <w:r>
              <w:rPr>
                <w:sz w:val="22"/>
              </w:rPr>
              <w:t>4</w:t>
            </w:r>
          </w:p>
        </w:tc>
      </w:tr>
      <w:tr w:rsidR="00FE73B9" w14:paraId="2A7D5521" w14:textId="77777777" w:rsidTr="00D06C98">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F1DB8" w14:textId="1576EA2A" w:rsidR="00F2110A" w:rsidRPr="00F2110A" w:rsidRDefault="00F2110A" w:rsidP="00F2110A">
            <w:pPr>
              <w:spacing w:before="60" w:line="240" w:lineRule="auto"/>
              <w:ind w:left="29" w:right="57"/>
              <w:rPr>
                <w:rFonts w:cs="Arial"/>
                <w:color w:val="auto"/>
                <w:shd w:val="clear" w:color="auto" w:fill="FFFFFF"/>
              </w:rPr>
            </w:pPr>
            <w:r w:rsidRPr="00F2110A">
              <w:rPr>
                <w:iCs/>
                <w:color w:val="auto"/>
                <w:lang w:val="en-US"/>
              </w:rPr>
              <w:lastRenderedPageBreak/>
              <w:t xml:space="preserve">Purchase of </w:t>
            </w:r>
            <w:proofErr w:type="spellStart"/>
            <w:r w:rsidRPr="00F2110A">
              <w:rPr>
                <w:iCs/>
                <w:color w:val="auto"/>
                <w:lang w:val="en-US"/>
              </w:rPr>
              <w:t>standardised</w:t>
            </w:r>
            <w:proofErr w:type="spellEnd"/>
            <w:r w:rsidRPr="00F2110A">
              <w:rPr>
                <w:iCs/>
                <w:color w:val="auto"/>
                <w:lang w:val="en-US"/>
              </w:rPr>
              <w:t xml:space="preserve"> diagnostic assessments</w:t>
            </w:r>
            <w:r w:rsidR="004F07CD">
              <w:rPr>
                <w:iCs/>
                <w:color w:val="auto"/>
                <w:lang w:val="en-US"/>
              </w:rPr>
              <w:t xml:space="preserve"> and resources</w:t>
            </w:r>
            <w:r w:rsidRPr="00F2110A">
              <w:rPr>
                <w:iCs/>
                <w:color w:val="auto"/>
                <w:lang w:val="en-US"/>
              </w:rPr>
              <w:t xml:space="preserve">. </w:t>
            </w:r>
          </w:p>
          <w:p w14:paraId="2A7D551E" w14:textId="0D23E234" w:rsidR="00E66558" w:rsidRDefault="00F2110A" w:rsidP="00F2110A">
            <w:pPr>
              <w:pStyle w:val="TableRow"/>
              <w:rPr>
                <w:i/>
                <w:sz w:val="22"/>
              </w:rPr>
            </w:pPr>
            <w:r w:rsidRPr="00F2110A">
              <w:rPr>
                <w:rFonts w:cs="Arial"/>
                <w:color w:val="auto"/>
                <w:shd w:val="clear" w:color="auto" w:fill="FFFFFF"/>
              </w:rPr>
              <w:t>Training for staff to ensure assessments are interpreted and administered correctly.</w:t>
            </w:r>
          </w:p>
        </w:tc>
        <w:tc>
          <w:tcPr>
            <w:tcW w:w="9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E8FA2" w14:textId="77777777" w:rsidR="00F2110A" w:rsidRPr="00F2110A" w:rsidRDefault="00F2110A" w:rsidP="00F2110A">
            <w:pPr>
              <w:spacing w:before="60" w:after="60" w:line="240" w:lineRule="auto"/>
              <w:ind w:left="57" w:right="57"/>
              <w:rPr>
                <w:color w:val="auto"/>
              </w:rPr>
            </w:pPr>
            <w:r w:rsidRPr="00F2110A">
              <w:rPr>
                <w:color w:val="auto"/>
              </w:rPr>
              <w:t>Standardised tests can provide reliable insights into the specific strengths and weaknesses of each pupil to help ensure they receive the correct additional support through interventions or teacher instruction:</w:t>
            </w:r>
          </w:p>
          <w:p w14:paraId="2A7D551F" w14:textId="5428F857" w:rsidR="003719FC" w:rsidRDefault="00D41AFA" w:rsidP="00F2110A">
            <w:pPr>
              <w:pStyle w:val="TableRowCentered"/>
              <w:jc w:val="left"/>
              <w:rPr>
                <w:sz w:val="22"/>
              </w:rPr>
            </w:pPr>
            <w:hyperlink r:id="rId10" w:history="1">
              <w:r w:rsidR="00F2110A" w:rsidRPr="00F2110A">
                <w:rPr>
                  <w:color w:val="0070C0"/>
                  <w:szCs w:val="24"/>
                  <w:u w:val="single"/>
                </w:rPr>
                <w:t>Standardised tests | Assessing and Monitoring Pupil Progress | Education Endowment Foundation | EEF</w:t>
              </w:r>
            </w:hyperlink>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44E92CA" w:rsidR="00E66558" w:rsidRDefault="001D4D9A">
            <w:pPr>
              <w:pStyle w:val="TableRowCentered"/>
              <w:jc w:val="left"/>
              <w:rPr>
                <w:sz w:val="22"/>
              </w:rPr>
            </w:pPr>
            <w:r>
              <w:rPr>
                <w:sz w:val="22"/>
              </w:rPr>
              <w:t>1,2,3,4</w:t>
            </w:r>
          </w:p>
        </w:tc>
      </w:tr>
      <w:tr w:rsidR="00F2110A" w14:paraId="0FD68094" w14:textId="77777777" w:rsidTr="00D06C98">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4CC28" w14:textId="7C8C6A24" w:rsidR="00F2110A" w:rsidRPr="00F2110A" w:rsidRDefault="00F2110A" w:rsidP="00F2110A">
            <w:pPr>
              <w:spacing w:before="60" w:line="240" w:lineRule="auto"/>
              <w:ind w:left="29" w:right="57"/>
              <w:rPr>
                <w:iCs/>
                <w:color w:val="auto"/>
                <w:lang w:val="en-US"/>
              </w:rPr>
            </w:pPr>
            <w:r w:rsidRPr="00E27862">
              <w:rPr>
                <w:rFonts w:cs="Arial"/>
                <w:iCs/>
                <w:color w:val="auto"/>
              </w:rPr>
              <w:t xml:space="preserve">Purchase of a </w:t>
            </w:r>
            <w:hyperlink r:id="rId11"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teaching for all pupils.</w:t>
            </w:r>
          </w:p>
        </w:tc>
        <w:tc>
          <w:tcPr>
            <w:tcW w:w="9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8E508" w14:textId="77777777" w:rsidR="00F2110A" w:rsidRPr="00F2110A" w:rsidRDefault="00F2110A" w:rsidP="00F2110A">
            <w:pPr>
              <w:spacing w:before="60" w:after="60" w:line="240" w:lineRule="auto"/>
              <w:ind w:left="57" w:right="57"/>
              <w:rPr>
                <w:rFonts w:cs="Arial"/>
                <w:color w:val="auto"/>
              </w:rPr>
            </w:pPr>
            <w:r w:rsidRPr="00F2110A">
              <w:rPr>
                <w:rFonts w:cs="Arial"/>
                <w:color w:val="auto"/>
              </w:rPr>
              <w:t xml:space="preserve">Phonics approaches have a strong evidence base that indicates a positive impact on the accuracy of word reading (though not necessarily comprehension), particularly for disadvantaged pupils: </w:t>
            </w:r>
          </w:p>
          <w:p w14:paraId="1A88DCFF" w14:textId="0A2737D4" w:rsidR="00F2110A" w:rsidRPr="00F2110A" w:rsidRDefault="00D41AFA" w:rsidP="00F2110A">
            <w:pPr>
              <w:spacing w:before="60" w:after="60" w:line="240" w:lineRule="auto"/>
              <w:ind w:left="57" w:right="57"/>
              <w:rPr>
                <w:color w:val="auto"/>
              </w:rPr>
            </w:pPr>
            <w:hyperlink r:id="rId12" w:history="1">
              <w:r w:rsidR="00F2110A" w:rsidRPr="00F2110A">
                <w:rPr>
                  <w:color w:val="0070C0"/>
                  <w:u w:val="single"/>
                </w:rPr>
                <w:t>Phonics | Toolkit Strand | Education Endowment Foundation | EEF</w:t>
              </w:r>
            </w:hyperlink>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2DA89" w14:textId="01E32BE4" w:rsidR="00F2110A" w:rsidRDefault="001D4D9A">
            <w:pPr>
              <w:pStyle w:val="TableRowCentered"/>
              <w:jc w:val="left"/>
              <w:rPr>
                <w:sz w:val="22"/>
              </w:rPr>
            </w:pPr>
            <w:r>
              <w:rPr>
                <w:sz w:val="22"/>
              </w:rPr>
              <w:t>2</w:t>
            </w:r>
          </w:p>
        </w:tc>
      </w:tr>
      <w:tr w:rsidR="0075563A" w14:paraId="3BD0A0D0" w14:textId="77777777" w:rsidTr="00D06C98">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DF403" w14:textId="01060169" w:rsidR="000B2375" w:rsidRPr="00F2110A" w:rsidRDefault="00E47D52">
            <w:pPr>
              <w:pStyle w:val="TableRow"/>
              <w:rPr>
                <w:sz w:val="22"/>
              </w:rPr>
            </w:pPr>
            <w:r w:rsidRPr="00F2110A">
              <w:rPr>
                <w:sz w:val="22"/>
              </w:rPr>
              <w:t>Literacy teaching and learning- speech and language and the focus as building blocks to literacy skills</w:t>
            </w:r>
            <w:r w:rsidR="004F07CD">
              <w:rPr>
                <w:sz w:val="22"/>
              </w:rPr>
              <w:t xml:space="preserve"> including the resources required to support this.</w:t>
            </w:r>
          </w:p>
          <w:p w14:paraId="6B874DEF" w14:textId="77777777" w:rsidR="000B2375" w:rsidRPr="00F2110A" w:rsidRDefault="000B2375">
            <w:pPr>
              <w:pStyle w:val="TableRow"/>
              <w:rPr>
                <w:sz w:val="22"/>
              </w:rPr>
            </w:pPr>
          </w:p>
          <w:p w14:paraId="78092C00" w14:textId="77777777" w:rsidR="0075563A" w:rsidRPr="00F2110A" w:rsidRDefault="000B2375">
            <w:pPr>
              <w:pStyle w:val="TableRow"/>
              <w:rPr>
                <w:sz w:val="22"/>
              </w:rPr>
            </w:pPr>
            <w:r w:rsidRPr="00F2110A">
              <w:rPr>
                <w:sz w:val="22"/>
              </w:rPr>
              <w:t xml:space="preserve">School </w:t>
            </w:r>
            <w:r w:rsidR="00A431BC" w:rsidRPr="00F2110A">
              <w:rPr>
                <w:sz w:val="22"/>
              </w:rPr>
              <w:t>also intends to lower school age in order to ensure these gaps are addressed at an earlier age</w:t>
            </w:r>
            <w:r w:rsidR="00B92B6B" w:rsidRPr="00F2110A">
              <w:rPr>
                <w:sz w:val="22"/>
              </w:rPr>
              <w:t xml:space="preserve">. </w:t>
            </w:r>
          </w:p>
          <w:p w14:paraId="36D8F8EA" w14:textId="77777777" w:rsidR="00B92B6B" w:rsidRPr="00F2110A" w:rsidRDefault="00B92B6B">
            <w:pPr>
              <w:pStyle w:val="TableRow"/>
              <w:rPr>
                <w:sz w:val="22"/>
              </w:rPr>
            </w:pPr>
          </w:p>
          <w:p w14:paraId="133F93AD" w14:textId="48D5CA59" w:rsidR="00B92B6B" w:rsidRPr="00F2110A" w:rsidRDefault="00B92B6B">
            <w:pPr>
              <w:pStyle w:val="TableRow"/>
              <w:rPr>
                <w:sz w:val="22"/>
              </w:rPr>
            </w:pPr>
            <w:r w:rsidRPr="00F2110A">
              <w:rPr>
                <w:sz w:val="22"/>
              </w:rPr>
              <w:t xml:space="preserve">School will offer full time places for all </w:t>
            </w:r>
            <w:r w:rsidR="00F2110A" w:rsidRPr="00F2110A">
              <w:rPr>
                <w:sz w:val="22"/>
              </w:rPr>
              <w:t xml:space="preserve">Nursery age </w:t>
            </w:r>
            <w:r w:rsidRPr="00F2110A">
              <w:rPr>
                <w:sz w:val="22"/>
              </w:rPr>
              <w:t xml:space="preserve">children given the </w:t>
            </w:r>
            <w:r w:rsidR="00F2110A" w:rsidRPr="00F2110A">
              <w:rPr>
                <w:sz w:val="22"/>
              </w:rPr>
              <w:t xml:space="preserve">current recovery from the pandemic and the provision </w:t>
            </w:r>
            <w:r w:rsidR="00F2110A" w:rsidRPr="00F2110A">
              <w:rPr>
                <w:sz w:val="22"/>
              </w:rPr>
              <w:lastRenderedPageBreak/>
              <w:t xml:space="preserve">led by qualified early years teachers providing high quality learning and early support for speech and language development </w:t>
            </w:r>
          </w:p>
        </w:tc>
        <w:tc>
          <w:tcPr>
            <w:tcW w:w="9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12FFA" w14:textId="44AAD7BF" w:rsidR="00451181" w:rsidRDefault="00E87DB2" w:rsidP="00451181">
            <w:pPr>
              <w:pStyle w:val="TableRowCentered"/>
              <w:ind w:left="0"/>
              <w:jc w:val="left"/>
            </w:pPr>
            <w:r w:rsidRPr="00E73BB0">
              <w:rPr>
                <w:sz w:val="22"/>
                <w:szCs w:val="22"/>
              </w:rPr>
              <w:lastRenderedPageBreak/>
              <w:t>There is evidence that the rate at which children develop language is sensitive to the amount of input they receive from the adults and peers around them, and that the quality of this input is likely to be more important than the quantity</w:t>
            </w:r>
            <w:r>
              <w:t>.</w:t>
            </w:r>
          </w:p>
          <w:p w14:paraId="0685FAA6" w14:textId="38FD7CA1" w:rsidR="00E87DB2" w:rsidRDefault="00E87DB2" w:rsidP="00451181">
            <w:pPr>
              <w:pStyle w:val="TableRowCentered"/>
              <w:ind w:left="0"/>
              <w:jc w:val="left"/>
            </w:pPr>
          </w:p>
          <w:p w14:paraId="6FA306A0" w14:textId="50ECF9D9" w:rsidR="00E87DB2" w:rsidRDefault="00D41AFA" w:rsidP="00451181">
            <w:pPr>
              <w:pStyle w:val="TableRowCentered"/>
              <w:ind w:left="0"/>
              <w:jc w:val="left"/>
              <w:rPr>
                <w:sz w:val="22"/>
              </w:rPr>
            </w:pPr>
            <w:hyperlink r:id="rId13" w:anchor="nav-downloads" w:history="1">
              <w:r w:rsidR="00E87DB2" w:rsidRPr="00E87DB2">
                <w:rPr>
                  <w:rStyle w:val="Hyperlink"/>
                  <w:sz w:val="22"/>
                </w:rPr>
                <w:t>https://educationendowmentfoundation.org.uk/education-evidence/guidance-reports/literacy-ks-1#nav-downloads</w:t>
              </w:r>
            </w:hyperlink>
          </w:p>
          <w:p w14:paraId="5D80D4DD" w14:textId="77777777" w:rsidR="00451181" w:rsidRDefault="00451181" w:rsidP="00451181">
            <w:pPr>
              <w:pStyle w:val="TableRowCentered"/>
              <w:ind w:left="0"/>
              <w:jc w:val="left"/>
              <w:rPr>
                <w:sz w:val="22"/>
              </w:rPr>
            </w:pPr>
          </w:p>
          <w:p w14:paraId="4C57AA34" w14:textId="77777777" w:rsidR="0075563A" w:rsidRDefault="00D41AFA" w:rsidP="00451181">
            <w:pPr>
              <w:pStyle w:val="TableRowCentered"/>
              <w:ind w:left="0"/>
              <w:jc w:val="left"/>
              <w:rPr>
                <w:sz w:val="22"/>
              </w:rPr>
            </w:pPr>
            <w:hyperlink r:id="rId14" w:history="1">
              <w:r w:rsidR="00451181" w:rsidRPr="00451181">
                <w:rPr>
                  <w:rStyle w:val="Hyperlink"/>
                  <w:sz w:val="22"/>
                </w:rPr>
                <w:t>https://d2tic4wvo1iusb.cloudfront.net/guidance-reports/literacy-ks-1/Supporting_oral_language_development.pdf</w:t>
              </w:r>
            </w:hyperlink>
          </w:p>
          <w:p w14:paraId="5E34306B" w14:textId="77777777" w:rsidR="00A431BC" w:rsidRDefault="00A431BC" w:rsidP="00451181">
            <w:pPr>
              <w:pStyle w:val="TableRowCentered"/>
              <w:ind w:left="0"/>
              <w:jc w:val="left"/>
              <w:rPr>
                <w:sz w:val="22"/>
              </w:rPr>
            </w:pPr>
          </w:p>
          <w:p w14:paraId="4C7C2643" w14:textId="77777777" w:rsidR="00A431BC" w:rsidRDefault="00D41AFA" w:rsidP="00451181">
            <w:pPr>
              <w:pStyle w:val="TableRowCentered"/>
              <w:ind w:left="0"/>
              <w:jc w:val="left"/>
              <w:rPr>
                <w:rStyle w:val="Hyperlink"/>
                <w:sz w:val="22"/>
              </w:rPr>
            </w:pPr>
            <w:hyperlink r:id="rId15" w:history="1">
              <w:r w:rsidR="00A431BC" w:rsidRPr="00A431BC">
                <w:rPr>
                  <w:rStyle w:val="Hyperlink"/>
                  <w:sz w:val="22"/>
                </w:rPr>
                <w:t>https://educationendowmentfoundation.org.uk/education-evidence/early-years-toolkit/earlier-starting-age</w:t>
              </w:r>
            </w:hyperlink>
          </w:p>
          <w:p w14:paraId="1984CEAB" w14:textId="77777777" w:rsidR="00B92B6B" w:rsidRDefault="00B92B6B" w:rsidP="00451181">
            <w:pPr>
              <w:pStyle w:val="TableRowCentered"/>
              <w:ind w:left="0"/>
              <w:jc w:val="left"/>
              <w:rPr>
                <w:sz w:val="22"/>
              </w:rPr>
            </w:pPr>
          </w:p>
          <w:p w14:paraId="6FB7E483" w14:textId="77777777" w:rsidR="00B92B6B" w:rsidRDefault="00B92B6B" w:rsidP="00451181">
            <w:pPr>
              <w:pStyle w:val="TableRowCentered"/>
              <w:ind w:left="0"/>
              <w:jc w:val="left"/>
              <w:rPr>
                <w:sz w:val="22"/>
              </w:rPr>
            </w:pPr>
          </w:p>
          <w:p w14:paraId="6773E400" w14:textId="44D5A4BF" w:rsidR="00B92B6B" w:rsidRDefault="00B92B6B" w:rsidP="00451181">
            <w:pPr>
              <w:pStyle w:val="TableRowCentered"/>
              <w:ind w:left="0"/>
              <w:jc w:val="left"/>
              <w:rPr>
                <w:sz w:val="22"/>
              </w:rPr>
            </w:pPr>
            <w:r>
              <w:rPr>
                <w:sz w:val="22"/>
              </w:rPr>
              <w:t xml:space="preserve">Whilst the research is not conclusive that an offer of a full day rather than part time provision, at Chaucer the offer there based on high quality provision led by a qualified teacher, support for speech and language development and support for parents.  </w:t>
            </w:r>
            <w:hyperlink r:id="rId16" w:history="1">
              <w:r w:rsidRPr="00932290">
                <w:rPr>
                  <w:rStyle w:val="Hyperlink"/>
                  <w:sz w:val="22"/>
                </w:rPr>
                <w:t>https://educationendowmentfoundation.org.uk/education-evidence/early-years-toolkit/extra-</w:t>
              </w:r>
              <w:r w:rsidRPr="00932290">
                <w:rPr>
                  <w:rStyle w:val="Hyperlink"/>
                  <w:sz w:val="22"/>
                </w:rPr>
                <w:lastRenderedPageBreak/>
                <w:t>hours?utm_source=/education-evidence/early-years-toolkit/extra-hours&amp;utm_medium=search&amp;utm_campaign=site_searchh&amp;search_term</w:t>
              </w:r>
            </w:hyperlink>
          </w:p>
          <w:p w14:paraId="09111065" w14:textId="51D4B015" w:rsidR="00B92B6B" w:rsidRDefault="00B92B6B" w:rsidP="00451181">
            <w:pPr>
              <w:pStyle w:val="TableRowCentered"/>
              <w:ind w:left="0"/>
              <w:jc w:val="left"/>
              <w:rPr>
                <w:sz w:val="22"/>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9D2C" w14:textId="32BA60E0" w:rsidR="0075563A" w:rsidRDefault="00E87DB2">
            <w:pPr>
              <w:pStyle w:val="TableRowCentered"/>
              <w:jc w:val="left"/>
              <w:rPr>
                <w:sz w:val="22"/>
              </w:rPr>
            </w:pPr>
            <w:r>
              <w:rPr>
                <w:sz w:val="22"/>
              </w:rPr>
              <w:lastRenderedPageBreak/>
              <w:t>1</w:t>
            </w:r>
            <w:r w:rsidR="005B25F6">
              <w:rPr>
                <w:sz w:val="22"/>
              </w:rPr>
              <w:t>, 2</w:t>
            </w:r>
          </w:p>
        </w:tc>
      </w:tr>
      <w:tr w:rsidR="0075563A" w14:paraId="484B7046" w14:textId="77777777" w:rsidTr="00D06C98">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B1503" w14:textId="77777777" w:rsidR="0075563A" w:rsidRPr="00695629" w:rsidRDefault="00E87DB2">
            <w:pPr>
              <w:pStyle w:val="TableRow"/>
              <w:rPr>
                <w:sz w:val="22"/>
              </w:rPr>
            </w:pPr>
            <w:r w:rsidRPr="00695629">
              <w:rPr>
                <w:sz w:val="22"/>
              </w:rPr>
              <w:t>Reading and phonics training and intervention groups from trained members of staff</w:t>
            </w:r>
          </w:p>
          <w:p w14:paraId="74F85176" w14:textId="2C023264" w:rsidR="00E87DB2" w:rsidRDefault="00E87DB2" w:rsidP="00E87DB2">
            <w:pPr>
              <w:pStyle w:val="TableRow"/>
              <w:ind w:left="0"/>
              <w:rPr>
                <w:i/>
                <w:sz w:val="22"/>
              </w:rPr>
            </w:pPr>
          </w:p>
        </w:tc>
        <w:tc>
          <w:tcPr>
            <w:tcW w:w="9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7D29" w14:textId="77777777" w:rsidR="0075563A" w:rsidRDefault="00D41AFA" w:rsidP="00CB7D98">
            <w:pPr>
              <w:pStyle w:val="TableRowCentered"/>
              <w:jc w:val="left"/>
              <w:rPr>
                <w:sz w:val="22"/>
              </w:rPr>
            </w:pPr>
            <w:hyperlink r:id="rId17" w:anchor="nav-downloads" w:history="1">
              <w:r w:rsidR="00E87DB2" w:rsidRPr="00E87DB2">
                <w:rPr>
                  <w:rStyle w:val="Hyperlink"/>
                  <w:sz w:val="22"/>
                </w:rPr>
                <w:t>https://educationendowmentfoundation.org.uk/education-evidence/guidance-reports/literacy-ks-1#nav-downloads</w:t>
              </w:r>
            </w:hyperlink>
          </w:p>
          <w:p w14:paraId="357EA6F0" w14:textId="77777777" w:rsidR="00E87DB2" w:rsidRDefault="00E87DB2" w:rsidP="00CB7D98">
            <w:pPr>
              <w:pStyle w:val="TableRowCentered"/>
              <w:jc w:val="left"/>
              <w:rPr>
                <w:sz w:val="22"/>
              </w:rPr>
            </w:pPr>
          </w:p>
          <w:p w14:paraId="140D48C0" w14:textId="0DC62FA4" w:rsidR="00E87DB2" w:rsidRDefault="00D41AFA" w:rsidP="00E87DB2">
            <w:pPr>
              <w:pStyle w:val="TableRowCentered"/>
              <w:ind w:left="0"/>
              <w:jc w:val="left"/>
              <w:rPr>
                <w:sz w:val="22"/>
              </w:rPr>
            </w:pPr>
            <w:hyperlink r:id="rId18" w:history="1">
              <w:r w:rsidR="00E87DB2" w:rsidRPr="00E87DB2">
                <w:rPr>
                  <w:rStyle w:val="Hyperlink"/>
                  <w:sz w:val="22"/>
                </w:rPr>
                <w:t>https://educationendowmentfoundation.org.uk/education-evidence/early-years-toolkit/early-literacy-approaches</w:t>
              </w:r>
            </w:hyperlink>
          </w:p>
          <w:p w14:paraId="755A0810" w14:textId="1CE4E40B" w:rsidR="00E87DB2" w:rsidRDefault="00E87DB2" w:rsidP="00CB7D98">
            <w:pPr>
              <w:pStyle w:val="TableRowCentered"/>
              <w:jc w:val="left"/>
              <w:rPr>
                <w:sz w:val="22"/>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432BE" w14:textId="4AA47769" w:rsidR="0075563A" w:rsidRDefault="005B25F6">
            <w:pPr>
              <w:pStyle w:val="TableRowCentered"/>
              <w:jc w:val="left"/>
              <w:rPr>
                <w:sz w:val="22"/>
              </w:rPr>
            </w:pPr>
            <w:r>
              <w:rPr>
                <w:sz w:val="22"/>
              </w:rPr>
              <w:t>2</w:t>
            </w:r>
          </w:p>
        </w:tc>
      </w:tr>
      <w:tr w:rsidR="0075563A" w14:paraId="17CE5FA7" w14:textId="77777777" w:rsidTr="00D06C98">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20886" w14:textId="3FF406D3" w:rsidR="0075563A" w:rsidRDefault="00B92B6B">
            <w:pPr>
              <w:pStyle w:val="TableRow"/>
              <w:rPr>
                <w:i/>
                <w:sz w:val="22"/>
              </w:rPr>
            </w:pPr>
            <w:r>
              <w:rPr>
                <w:i/>
                <w:sz w:val="22"/>
              </w:rPr>
              <w:t>Support for families regarding SEND support, links with home and external agencies in the format of TAF and CAF interventions</w:t>
            </w:r>
          </w:p>
        </w:tc>
        <w:tc>
          <w:tcPr>
            <w:tcW w:w="9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38BDD" w14:textId="77777777" w:rsidR="00B92B6B" w:rsidRDefault="00B92B6B" w:rsidP="00B92B6B">
            <w:pPr>
              <w:pStyle w:val="TableRowCentered"/>
              <w:jc w:val="left"/>
              <w:rPr>
                <w:rFonts w:cs="Arial"/>
                <w:color w:val="37474F"/>
                <w:sz w:val="22"/>
                <w:szCs w:val="22"/>
                <w:shd w:val="clear" w:color="auto" w:fill="FFFFFF"/>
              </w:rPr>
            </w:pPr>
            <w:r w:rsidRPr="00574209">
              <w:rPr>
                <w:rFonts w:cs="Arial"/>
                <w:color w:val="37474F"/>
                <w:sz w:val="22"/>
                <w:szCs w:val="22"/>
                <w:shd w:val="clear" w:color="auto" w:fill="FFFFFF"/>
              </w:rPr>
              <w:t>Pupils with Special Educational Needs and Disability (SEND) have the greatest need for excellent teaching and are entitled to provision that supports achievement at, and enjoyment of, school. The attainment gap between pupils with SEND and their peers is twice as big as the gap between pupils eligible for free school meals and their peers. However, pupils with SEND are also more than twice as likely to be eligible for free school meals.</w:t>
            </w:r>
          </w:p>
          <w:p w14:paraId="07C979D3" w14:textId="77777777" w:rsidR="00B92B6B" w:rsidRDefault="00D41AFA" w:rsidP="00B92B6B">
            <w:pPr>
              <w:pStyle w:val="TableRowCentered"/>
              <w:jc w:val="left"/>
              <w:rPr>
                <w:rFonts w:cs="Arial"/>
                <w:sz w:val="22"/>
                <w:szCs w:val="22"/>
              </w:rPr>
            </w:pPr>
            <w:hyperlink r:id="rId19" w:history="1">
              <w:r w:rsidR="00B92B6B" w:rsidRPr="0066067C">
                <w:rPr>
                  <w:rStyle w:val="Hyperlink"/>
                  <w:rFonts w:cs="Arial"/>
                  <w:sz w:val="22"/>
                  <w:szCs w:val="22"/>
                </w:rPr>
                <w:t>https://d2tic4wvo1iusb.cloudfront.net/eef-guidance-reports/send/EEF_Effective_parental_engagement_for_pupils_with_SEND.pdf</w:t>
              </w:r>
            </w:hyperlink>
          </w:p>
          <w:p w14:paraId="575353A4" w14:textId="77777777" w:rsidR="00B92B6B" w:rsidRDefault="00B92B6B" w:rsidP="00B92B6B">
            <w:pPr>
              <w:pStyle w:val="TableRowCentered"/>
              <w:jc w:val="left"/>
              <w:rPr>
                <w:rFonts w:cs="Arial"/>
                <w:sz w:val="22"/>
                <w:szCs w:val="22"/>
              </w:rPr>
            </w:pPr>
          </w:p>
          <w:p w14:paraId="537DA85D" w14:textId="32BC9910" w:rsidR="0075563A" w:rsidRDefault="00D41AFA" w:rsidP="00B92B6B">
            <w:pPr>
              <w:pStyle w:val="TableRowCentered"/>
              <w:jc w:val="left"/>
              <w:rPr>
                <w:sz w:val="22"/>
              </w:rPr>
            </w:pPr>
            <w:hyperlink r:id="rId20" w:history="1">
              <w:r w:rsidR="00B92B6B" w:rsidRPr="00B92B6B">
                <w:rPr>
                  <w:rStyle w:val="Hyperlink"/>
                  <w:rFonts w:cs="Arial"/>
                  <w:sz w:val="22"/>
                  <w:szCs w:val="22"/>
                </w:rPr>
                <w:t>https://d2tic4wvo1iusb.cloudfront.net/eef-guidance-reports/send/EEF_High_Quality_Teaching_for_Pupils_with_SEND.pdf</w:t>
              </w:r>
            </w:hyperlink>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0CDA8" w14:textId="3E1E0D10" w:rsidR="0075563A" w:rsidRDefault="00EF6FA9">
            <w:pPr>
              <w:pStyle w:val="TableRowCentered"/>
              <w:jc w:val="left"/>
              <w:rPr>
                <w:sz w:val="22"/>
              </w:rPr>
            </w:pPr>
            <w:r>
              <w:rPr>
                <w:sz w:val="22"/>
              </w:rPr>
              <w:t>1,2, 3, 4, 5</w:t>
            </w:r>
          </w:p>
        </w:tc>
      </w:tr>
    </w:tbl>
    <w:p w14:paraId="2A7D5522" w14:textId="2F4C8464" w:rsidR="00E66558" w:rsidRDefault="00E66558">
      <w:pPr>
        <w:keepNext/>
        <w:spacing w:after="60"/>
        <w:outlineLvl w:val="1"/>
      </w:pPr>
    </w:p>
    <w:p w14:paraId="257FC393" w14:textId="317EB0AD" w:rsidR="00D06C98" w:rsidRDefault="00D06C98">
      <w:pPr>
        <w:keepNext/>
        <w:spacing w:after="60"/>
        <w:outlineLvl w:val="1"/>
      </w:pPr>
    </w:p>
    <w:p w14:paraId="644CA141" w14:textId="6AD33498" w:rsidR="00D06C98" w:rsidRDefault="00D06C98">
      <w:pPr>
        <w:keepNext/>
        <w:spacing w:after="60"/>
        <w:outlineLvl w:val="1"/>
      </w:pPr>
    </w:p>
    <w:p w14:paraId="4395A055" w14:textId="5E34B31F" w:rsidR="00D06C98" w:rsidRDefault="00D06C98">
      <w:pPr>
        <w:keepNext/>
        <w:spacing w:after="60"/>
        <w:outlineLvl w:val="1"/>
      </w:pPr>
    </w:p>
    <w:p w14:paraId="12B4CCDC" w14:textId="27F3FC99" w:rsidR="00F02977" w:rsidRDefault="00F02977">
      <w:pPr>
        <w:keepNext/>
        <w:spacing w:after="60"/>
        <w:outlineLvl w:val="1"/>
      </w:pPr>
    </w:p>
    <w:p w14:paraId="681EF3EC" w14:textId="77777777" w:rsidR="004F07CD" w:rsidRDefault="004F07CD">
      <w:pPr>
        <w:keepNext/>
        <w:spacing w:after="60"/>
        <w:outlineLvl w:val="1"/>
      </w:pPr>
    </w:p>
    <w:p w14:paraId="5D4624F2" w14:textId="77777777" w:rsidR="004F07CD" w:rsidRDefault="004F07CD">
      <w:pPr>
        <w:keepNext/>
        <w:spacing w:after="60"/>
        <w:outlineLvl w:val="1"/>
      </w:pPr>
    </w:p>
    <w:p w14:paraId="265D31A4" w14:textId="77777777" w:rsidR="004F07CD"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7042DC8" w:rsidR="00E66558" w:rsidRPr="004F07CD" w:rsidRDefault="009D71E8">
      <w:pPr>
        <w:rPr>
          <w:b/>
          <w:bCs/>
          <w:color w:val="104F75"/>
          <w:sz w:val="28"/>
          <w:szCs w:val="28"/>
        </w:rPr>
      </w:pPr>
      <w:r>
        <w:lastRenderedPageBreak/>
        <w:t xml:space="preserve">Budgeted cost: £ </w:t>
      </w:r>
      <w:r w:rsidR="00695629">
        <w:rPr>
          <w:i/>
          <w:iCs/>
        </w:rPr>
        <w:t>47,000</w:t>
      </w:r>
    </w:p>
    <w:tbl>
      <w:tblPr>
        <w:tblW w:w="5000" w:type="pct"/>
        <w:tblCellMar>
          <w:left w:w="10" w:type="dxa"/>
          <w:right w:w="10" w:type="dxa"/>
        </w:tblCellMar>
        <w:tblLook w:val="04A0" w:firstRow="1" w:lastRow="0" w:firstColumn="1" w:lastColumn="0" w:noHBand="0" w:noVBand="1"/>
      </w:tblPr>
      <w:tblGrid>
        <w:gridCol w:w="2526"/>
        <w:gridCol w:w="9960"/>
        <w:gridCol w:w="2074"/>
      </w:tblGrid>
      <w:tr w:rsidR="00E66558" w14:paraId="2A7D5528" w14:textId="77777777" w:rsidTr="00695629">
        <w:tc>
          <w:tcPr>
            <w:tcW w:w="14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5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695629">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9FC280F" w:rsidR="00E66558" w:rsidRPr="00695629" w:rsidRDefault="00AB4726">
            <w:pPr>
              <w:pStyle w:val="TableRow"/>
            </w:pPr>
            <w:r>
              <w:rPr>
                <w:iCs/>
                <w:sz w:val="22"/>
                <w:szCs w:val="22"/>
              </w:rPr>
              <w:t xml:space="preserve">Engaging with the national tutoring programme to provide </w:t>
            </w:r>
            <w:r w:rsidR="00695629">
              <w:rPr>
                <w:iCs/>
                <w:sz w:val="22"/>
                <w:szCs w:val="22"/>
              </w:rPr>
              <w:t xml:space="preserve">Specialist </w:t>
            </w:r>
            <w:r w:rsidR="00695629" w:rsidRPr="00695629">
              <w:rPr>
                <w:iCs/>
                <w:sz w:val="22"/>
                <w:szCs w:val="22"/>
              </w:rPr>
              <w:t>Tutoring for children who are experiencing difficulties with English language acquisition and application</w:t>
            </w:r>
            <w:r>
              <w:rPr>
                <w:iCs/>
                <w:sz w:val="22"/>
                <w:szCs w:val="22"/>
              </w:rPr>
              <w:t xml:space="preserve"> and whose progress has been impacted by the pandemic. </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575BA" w14:textId="77777777" w:rsidR="00E66558" w:rsidRDefault="00695629">
            <w:pPr>
              <w:pStyle w:val="TableRowCentered"/>
              <w:jc w:val="left"/>
              <w:rPr>
                <w:rFonts w:cs="Arial"/>
                <w:color w:val="263238"/>
                <w:sz w:val="22"/>
                <w:szCs w:val="22"/>
                <w:shd w:val="clear" w:color="auto" w:fill="FFFFFF"/>
              </w:rPr>
            </w:pPr>
            <w:r w:rsidRPr="00695629">
              <w:rPr>
                <w:rFonts w:cs="Arial"/>
                <w:color w:val="263238"/>
                <w:sz w:val="22"/>
                <w:szCs w:val="22"/>
                <w:shd w:val="clear" w:color="auto" w:fill="FFFFFF"/>
              </w:rPr>
              <w:t>Small group tuition approaches can support pupils to make effective progress by providing intensive, targeted academic support to those identified as having low prior attainment or at risk of falling behind. The approach allows the teacher to focus on the needs of a small number of learners and provide teaching that is closely matched to pupil understanding. Small group tuition offers an opportunity for greater levels of interaction and feedback compared to whole class teaching which can support pupils to overcome barriers to learning and increase their access to the curriculum.</w:t>
            </w:r>
          </w:p>
          <w:p w14:paraId="2A7D552A" w14:textId="0E65E34E" w:rsidR="00695629" w:rsidRPr="00695629" w:rsidRDefault="00D41AFA">
            <w:pPr>
              <w:pStyle w:val="TableRowCentered"/>
              <w:jc w:val="left"/>
              <w:rPr>
                <w:rFonts w:cs="Arial"/>
                <w:sz w:val="22"/>
                <w:szCs w:val="22"/>
              </w:rPr>
            </w:pPr>
            <w:hyperlink r:id="rId21" w:history="1">
              <w:r w:rsidR="00695629" w:rsidRPr="00695629">
                <w:rPr>
                  <w:rStyle w:val="Hyperlink"/>
                  <w:rFonts w:cs="Arial"/>
                  <w:sz w:val="22"/>
                  <w:szCs w:val="22"/>
                </w:rPr>
                <w:t>ducationendowmentfoundation.org.uk/education-evidence/teaching-learning-toolkit/small-group-tuition?utm_source=/education-evidence/teaching-learning-toolkit/small-group-tuition&amp;utm_medium=search&amp;utm_campaign=site_searchh&amp;search_term</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DE335E7" w:rsidR="00E66558" w:rsidRDefault="00EF6FA9">
            <w:pPr>
              <w:pStyle w:val="TableRowCentered"/>
              <w:jc w:val="left"/>
              <w:rPr>
                <w:sz w:val="22"/>
              </w:rPr>
            </w:pPr>
            <w:r>
              <w:rPr>
                <w:sz w:val="22"/>
              </w:rPr>
              <w:t>2,3</w:t>
            </w:r>
          </w:p>
        </w:tc>
      </w:tr>
      <w:tr w:rsidR="00E66558" w14:paraId="2A7D5530" w14:textId="77777777" w:rsidTr="00695629">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6F79D46" w:rsidR="00E66558" w:rsidRDefault="00AB4726">
            <w:pPr>
              <w:pStyle w:val="TableRow"/>
              <w:rPr>
                <w:i/>
                <w:sz w:val="22"/>
              </w:rPr>
            </w:pPr>
            <w:r w:rsidRPr="00E27862">
              <w:rPr>
                <w:rFonts w:cs="Arial"/>
                <w:iCs/>
                <w:color w:val="auto"/>
                <w:lang w:val="en-US"/>
              </w:rPr>
              <w:t xml:space="preserve">Additional phonics sessions targeted at disadvantaged pupils who require further phonics support. </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1B03F" w14:textId="77777777" w:rsidR="00AB4726" w:rsidRPr="00AB4726" w:rsidRDefault="00AB4726" w:rsidP="00AB4726">
            <w:pPr>
              <w:spacing w:before="60" w:after="60" w:line="240" w:lineRule="auto"/>
              <w:ind w:left="57" w:right="57"/>
              <w:rPr>
                <w:rFonts w:cs="Arial"/>
                <w:color w:val="auto"/>
              </w:rPr>
            </w:pPr>
            <w:r w:rsidRPr="00AB4726">
              <w:rPr>
                <w:rFonts w:cs="Arial"/>
                <w:color w:val="auto"/>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E" w14:textId="07E36849" w:rsidR="00E66558" w:rsidRDefault="00D41AFA" w:rsidP="00AB4726">
            <w:pPr>
              <w:pStyle w:val="TableRowCentered"/>
              <w:jc w:val="left"/>
              <w:rPr>
                <w:sz w:val="22"/>
              </w:rPr>
            </w:pPr>
            <w:hyperlink r:id="rId22" w:history="1">
              <w:r w:rsidR="00AB4726" w:rsidRPr="00AB4726">
                <w:rPr>
                  <w:color w:val="0070C0"/>
                  <w:szCs w:val="24"/>
                  <w:u w:val="single"/>
                </w:rPr>
                <w:t>Phonics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097B0E4" w:rsidR="00E66558" w:rsidRDefault="00EF6FA9">
            <w:pPr>
              <w:pStyle w:val="TableRowCentered"/>
              <w:jc w:val="left"/>
              <w:rPr>
                <w:sz w:val="22"/>
              </w:rPr>
            </w:pPr>
            <w:r>
              <w:rPr>
                <w:sz w:val="22"/>
              </w:rPr>
              <w:t>2</w:t>
            </w:r>
          </w:p>
        </w:tc>
      </w:tr>
      <w:tr w:rsidR="00D06C98" w14:paraId="557C91F1" w14:textId="77777777" w:rsidTr="00695629">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BB1EB" w14:textId="6224A269" w:rsidR="00D06C98" w:rsidRPr="00E27862" w:rsidRDefault="007D48FA">
            <w:pPr>
              <w:pStyle w:val="TableRow"/>
              <w:rPr>
                <w:rFonts w:cs="Arial"/>
                <w:iCs/>
                <w:color w:val="auto"/>
                <w:lang w:val="en-US"/>
              </w:rPr>
            </w:pPr>
            <w:r>
              <w:rPr>
                <w:rFonts w:cs="Arial"/>
                <w:iCs/>
                <w:color w:val="auto"/>
                <w:lang w:val="en-US"/>
              </w:rPr>
              <w:t xml:space="preserve">Use of support staff to provide targeted instruction to individual pupils or groups of pupils who require a tailored approach to their learning in core subjects. </w:t>
            </w:r>
            <w:r w:rsidR="001D4D9A">
              <w:rPr>
                <w:rFonts w:cs="Arial"/>
                <w:iCs/>
                <w:color w:val="auto"/>
                <w:lang w:val="en-US"/>
              </w:rPr>
              <w:t xml:space="preserve"> </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478EC" w14:textId="77777777" w:rsidR="00D06C98" w:rsidRDefault="00D06C98" w:rsidP="00AB4726">
            <w:pPr>
              <w:spacing w:before="60" w:after="60" w:line="240" w:lineRule="auto"/>
              <w:ind w:left="57" w:right="57"/>
              <w:rPr>
                <w:rFonts w:cs="Arial"/>
                <w:color w:val="263238"/>
                <w:sz w:val="22"/>
                <w:szCs w:val="22"/>
                <w:shd w:val="clear" w:color="auto" w:fill="FFFFFF"/>
              </w:rPr>
            </w:pPr>
            <w:r w:rsidRPr="00D06C98">
              <w:rPr>
                <w:rFonts w:cs="Arial"/>
                <w:color w:val="263238"/>
                <w:sz w:val="22"/>
                <w:szCs w:val="22"/>
                <w:shd w:val="clear" w:color="auto" w:fill="FFFFFF"/>
              </w:rPr>
              <w:t>For pupils identified as having low prior attainment or at risk of falling behind, individualised instruction may allow the teacher to provide activities that are closely matched to a pupil’s attainment. Provided they have the skills to manage their learning independently, this can support pupils to consolidate their learning and practice skills or develop mastery before progressing to the next stage of the curriculum. More targeted assessment and feedback may also support pupils to address misconceptions or overcome specific barriers to learning. </w:t>
            </w:r>
          </w:p>
          <w:p w14:paraId="2D2538BF" w14:textId="2CAC9D5F" w:rsidR="00D06C98" w:rsidRPr="00D06C98" w:rsidRDefault="00D41AFA" w:rsidP="00AB4726">
            <w:pPr>
              <w:spacing w:before="60" w:after="60" w:line="240" w:lineRule="auto"/>
              <w:ind w:left="57" w:right="57"/>
              <w:rPr>
                <w:rFonts w:cs="Arial"/>
                <w:color w:val="auto"/>
                <w:sz w:val="22"/>
                <w:szCs w:val="22"/>
              </w:rPr>
            </w:pPr>
            <w:hyperlink r:id="rId23" w:history="1">
              <w:r w:rsidR="00D06C98" w:rsidRPr="00D06C98">
                <w:rPr>
                  <w:rStyle w:val="Hyperlink"/>
                  <w:rFonts w:cs="Arial"/>
                  <w:sz w:val="22"/>
                  <w:szCs w:val="22"/>
                </w:rPr>
                <w:t>https://educationendowmentfoundation.org.uk/education-evidence/teaching-learning-toolkit/individualised-instruction</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ECFF5" w14:textId="0714821A" w:rsidR="00D06C98" w:rsidRDefault="00EF6FA9">
            <w:pPr>
              <w:pStyle w:val="TableRowCentered"/>
              <w:jc w:val="left"/>
              <w:rPr>
                <w:sz w:val="22"/>
              </w:rPr>
            </w:pPr>
            <w:r>
              <w:rPr>
                <w:sz w:val="22"/>
              </w:rPr>
              <w:t>2,3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712AC82" w:rsidR="00E66558" w:rsidRDefault="009D71E8">
      <w:pPr>
        <w:spacing w:before="240" w:after="120"/>
      </w:pPr>
      <w:r>
        <w:t xml:space="preserve">Budgeted cost: £ </w:t>
      </w:r>
      <w:r w:rsidR="00AB4726">
        <w:rPr>
          <w:i/>
          <w:iCs/>
        </w:rPr>
        <w:t>62,000</w:t>
      </w:r>
    </w:p>
    <w:tbl>
      <w:tblPr>
        <w:tblW w:w="5000" w:type="pct"/>
        <w:tblCellMar>
          <w:left w:w="10" w:type="dxa"/>
          <w:right w:w="10" w:type="dxa"/>
        </w:tblCellMar>
        <w:tblLook w:val="04A0" w:firstRow="1" w:lastRow="0" w:firstColumn="1" w:lastColumn="0" w:noHBand="0" w:noVBand="1"/>
      </w:tblPr>
      <w:tblGrid>
        <w:gridCol w:w="5240"/>
        <w:gridCol w:w="7265"/>
        <w:gridCol w:w="2055"/>
      </w:tblGrid>
      <w:tr w:rsidR="00E66558" w14:paraId="2A7D5537" w14:textId="77777777" w:rsidTr="00F02977">
        <w:tc>
          <w:tcPr>
            <w:tcW w:w="52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72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0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rsidRPr="00D06C98" w14:paraId="2A7D553B" w14:textId="77777777" w:rsidTr="00F029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949B0" w14:textId="77777777" w:rsidR="00E66558" w:rsidRPr="00D06C98" w:rsidRDefault="00FE73B9">
            <w:pPr>
              <w:pStyle w:val="TableRow"/>
              <w:rPr>
                <w:rFonts w:cs="Arial"/>
                <w:iCs/>
                <w:sz w:val="22"/>
                <w:szCs w:val="22"/>
              </w:rPr>
            </w:pPr>
            <w:r w:rsidRPr="00D06C98">
              <w:rPr>
                <w:rFonts w:cs="Arial"/>
                <w:iCs/>
                <w:sz w:val="22"/>
                <w:szCs w:val="22"/>
              </w:rPr>
              <w:t xml:space="preserve">Support for families in engagement of learning, family support, attendance and punctuality </w:t>
            </w:r>
          </w:p>
          <w:p w14:paraId="511CD6E7" w14:textId="2C4C52C9" w:rsidR="00AB4726" w:rsidRPr="00AB4726" w:rsidRDefault="00AB4726" w:rsidP="00AB4726">
            <w:pPr>
              <w:spacing w:before="60" w:after="120" w:line="240" w:lineRule="auto"/>
              <w:ind w:left="29" w:right="57"/>
              <w:rPr>
                <w:rFonts w:cs="Arial"/>
                <w:iCs/>
                <w:color w:val="auto"/>
                <w:sz w:val="22"/>
                <w:szCs w:val="22"/>
                <w:lang w:val="en-US"/>
              </w:rPr>
            </w:pPr>
            <w:r w:rsidRPr="00D06C98">
              <w:rPr>
                <w:rFonts w:cs="Arial"/>
                <w:iCs/>
                <w:color w:val="auto"/>
                <w:sz w:val="22"/>
                <w:szCs w:val="22"/>
                <w:lang w:val="en-US"/>
              </w:rPr>
              <w:t>-</w:t>
            </w:r>
            <w:r w:rsidRPr="00AB4726">
              <w:rPr>
                <w:rFonts w:cs="Arial"/>
                <w:iCs/>
                <w:color w:val="auto"/>
                <w:sz w:val="22"/>
                <w:szCs w:val="22"/>
                <w:lang w:val="en-US"/>
              </w:rPr>
              <w:t xml:space="preserve">Embedding principles of good practice set out in the DfE’s </w:t>
            </w:r>
            <w:hyperlink r:id="rId24" w:history="1">
              <w:r w:rsidRPr="00D06C98">
                <w:rPr>
                  <w:rFonts w:cs="Arial"/>
                  <w:iCs/>
                  <w:color w:val="0070C0"/>
                  <w:sz w:val="22"/>
                  <w:szCs w:val="22"/>
                  <w:u w:val="single"/>
                  <w:lang w:val="en-US"/>
                </w:rPr>
                <w:t>Improving School Attendance</w:t>
              </w:r>
            </w:hyperlink>
            <w:r w:rsidRPr="00AB4726">
              <w:rPr>
                <w:rFonts w:cs="Arial"/>
                <w:iCs/>
                <w:color w:val="0070C0"/>
                <w:sz w:val="22"/>
                <w:szCs w:val="22"/>
                <w:lang w:val="en-US"/>
              </w:rPr>
              <w:t xml:space="preserve"> </w:t>
            </w:r>
            <w:r w:rsidRPr="00AB4726">
              <w:rPr>
                <w:rFonts w:cs="Arial"/>
                <w:iCs/>
                <w:color w:val="auto"/>
                <w:sz w:val="22"/>
                <w:szCs w:val="22"/>
                <w:lang w:val="en-US"/>
              </w:rPr>
              <w:t>advice.</w:t>
            </w:r>
          </w:p>
          <w:p w14:paraId="2A7D5538" w14:textId="5A6D4065" w:rsidR="00AB4726" w:rsidRPr="00D06C98" w:rsidRDefault="00AB4726" w:rsidP="00AB4726">
            <w:pPr>
              <w:pStyle w:val="TableRow"/>
              <w:rPr>
                <w:rFonts w:cs="Arial"/>
                <w:sz w:val="22"/>
                <w:szCs w:val="22"/>
              </w:rPr>
            </w:pPr>
            <w:r w:rsidRPr="00D06C98">
              <w:rPr>
                <w:rFonts w:cs="Arial"/>
                <w:iCs/>
                <w:color w:val="auto"/>
                <w:sz w:val="22"/>
                <w:szCs w:val="22"/>
                <w:lang w:val="en-US"/>
              </w:rPr>
              <w:t>This will involve training and release time for staff to develop and implement new procedures and appointing attendance/support officers to improve attendance.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1B8A0" w14:textId="77777777" w:rsidR="00E66558" w:rsidRPr="00D06C98" w:rsidRDefault="00AB4726">
            <w:pPr>
              <w:pStyle w:val="TableRowCentered"/>
              <w:jc w:val="left"/>
              <w:rPr>
                <w:rFonts w:cs="Arial"/>
                <w:color w:val="auto"/>
                <w:sz w:val="22"/>
                <w:szCs w:val="22"/>
              </w:rPr>
            </w:pPr>
            <w:r w:rsidRPr="00D06C98">
              <w:rPr>
                <w:rFonts w:cs="Arial"/>
                <w:color w:val="auto"/>
                <w:sz w:val="22"/>
                <w:szCs w:val="22"/>
              </w:rPr>
              <w:t>The DfE guidance has been informed by engagement with schools that have significantly reduced levels of absence and persistent absence.</w:t>
            </w:r>
          </w:p>
          <w:p w14:paraId="6049910A" w14:textId="77777777" w:rsidR="00AB4726" w:rsidRPr="00D06C98" w:rsidRDefault="00AB4726">
            <w:pPr>
              <w:pStyle w:val="TableRowCentered"/>
              <w:jc w:val="left"/>
              <w:rPr>
                <w:rFonts w:cs="Arial"/>
                <w:sz w:val="22"/>
                <w:szCs w:val="22"/>
              </w:rPr>
            </w:pPr>
          </w:p>
          <w:p w14:paraId="014E22CD" w14:textId="77777777" w:rsidR="00AB4726" w:rsidRPr="00D06C98" w:rsidRDefault="00D41AFA" w:rsidP="00AB4726">
            <w:pPr>
              <w:pStyle w:val="TableRowCentered"/>
              <w:jc w:val="left"/>
              <w:rPr>
                <w:rFonts w:cs="Arial"/>
                <w:sz w:val="22"/>
                <w:szCs w:val="22"/>
              </w:rPr>
            </w:pPr>
            <w:hyperlink r:id="rId25" w:history="1">
              <w:r w:rsidR="00AB4726" w:rsidRPr="00D06C98">
                <w:rPr>
                  <w:rStyle w:val="Hyperlink"/>
                  <w:rFonts w:cs="Arial"/>
                  <w:sz w:val="22"/>
                  <w:szCs w:val="22"/>
                </w:rPr>
                <w:t>https://d2tic4wvo1iusb.cloudfront.net/documents/projects/Attendance-REA-protocol-21092021.pdf</w:t>
              </w:r>
            </w:hyperlink>
          </w:p>
          <w:p w14:paraId="2A7D5539" w14:textId="7BB4C07E" w:rsidR="00AB4726" w:rsidRPr="00D06C98" w:rsidRDefault="00AB4726">
            <w:pPr>
              <w:pStyle w:val="TableRowCentered"/>
              <w:jc w:val="left"/>
              <w:rPr>
                <w:rFonts w:cs="Arial"/>
                <w:sz w:val="22"/>
                <w:szCs w:val="22"/>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8CFDD56" w:rsidR="00E66558" w:rsidRPr="00D06C98" w:rsidRDefault="00EF6FA9">
            <w:pPr>
              <w:pStyle w:val="TableRowCentered"/>
              <w:jc w:val="left"/>
              <w:rPr>
                <w:rFonts w:cs="Arial"/>
                <w:sz w:val="22"/>
                <w:szCs w:val="22"/>
              </w:rPr>
            </w:pPr>
            <w:r>
              <w:rPr>
                <w:rFonts w:cs="Arial"/>
                <w:sz w:val="22"/>
                <w:szCs w:val="22"/>
              </w:rPr>
              <w:t>5</w:t>
            </w:r>
          </w:p>
        </w:tc>
      </w:tr>
      <w:tr w:rsidR="00E66558" w:rsidRPr="00D06C98" w14:paraId="2A7D553F" w14:textId="77777777" w:rsidTr="00F029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0198B" w14:textId="77777777" w:rsidR="00E66558" w:rsidRPr="00D06C98" w:rsidRDefault="00AB4726">
            <w:pPr>
              <w:pStyle w:val="TableRow"/>
              <w:rPr>
                <w:rFonts w:cs="Arial"/>
                <w:i/>
                <w:sz w:val="22"/>
                <w:szCs w:val="22"/>
              </w:rPr>
            </w:pPr>
            <w:r w:rsidRPr="00D06C98">
              <w:rPr>
                <w:rFonts w:cs="Arial"/>
                <w:i/>
                <w:sz w:val="22"/>
                <w:szCs w:val="22"/>
              </w:rPr>
              <w:t xml:space="preserve">Art and sports clubs offered after school to support </w:t>
            </w:r>
            <w:r w:rsidR="00D06C98" w:rsidRPr="00D06C98">
              <w:rPr>
                <w:rFonts w:cs="Arial"/>
                <w:i/>
                <w:sz w:val="22"/>
                <w:szCs w:val="22"/>
              </w:rPr>
              <w:t xml:space="preserve">health and </w:t>
            </w:r>
            <w:r w:rsidRPr="00D06C98">
              <w:rPr>
                <w:rFonts w:cs="Arial"/>
                <w:i/>
                <w:sz w:val="22"/>
                <w:szCs w:val="22"/>
              </w:rPr>
              <w:t>wellbeing</w:t>
            </w:r>
            <w:r w:rsidR="00D06C98" w:rsidRPr="00D06C98">
              <w:rPr>
                <w:rFonts w:cs="Arial"/>
                <w:i/>
                <w:sz w:val="22"/>
                <w:szCs w:val="22"/>
              </w:rPr>
              <w:t xml:space="preserve">. </w:t>
            </w:r>
          </w:p>
          <w:p w14:paraId="11670C6F" w14:textId="77777777" w:rsidR="00D06C98" w:rsidRPr="00D06C98" w:rsidRDefault="00D06C98">
            <w:pPr>
              <w:pStyle w:val="TableRow"/>
              <w:rPr>
                <w:rFonts w:cs="Arial"/>
                <w:i/>
                <w:sz w:val="22"/>
                <w:szCs w:val="22"/>
              </w:rPr>
            </w:pPr>
          </w:p>
          <w:p w14:paraId="2A7D553C" w14:textId="0314E228" w:rsidR="00D06C98" w:rsidRPr="00D06C98" w:rsidRDefault="00D06C98">
            <w:pPr>
              <w:pStyle w:val="TableRow"/>
              <w:rPr>
                <w:rFonts w:cs="Arial"/>
                <w:i/>
                <w:sz w:val="22"/>
                <w:szCs w:val="22"/>
              </w:rPr>
            </w:pPr>
            <w:r w:rsidRPr="00D06C98">
              <w:rPr>
                <w:rFonts w:cs="Arial"/>
                <w:i/>
                <w:sz w:val="22"/>
                <w:szCs w:val="22"/>
              </w:rPr>
              <w:t>Additional music lessons offered for pupils in school</w:t>
            </w:r>
          </w:p>
        </w:tc>
        <w:tc>
          <w:tcPr>
            <w:tcW w:w="7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9378" w14:textId="77777777" w:rsidR="00AB4726" w:rsidRPr="00D06C98" w:rsidRDefault="00AB4726" w:rsidP="00AB4726">
            <w:pPr>
              <w:pStyle w:val="NormalWeb"/>
              <w:pBdr>
                <w:top w:val="single" w:sz="2" w:space="0" w:color="auto"/>
                <w:left w:val="single" w:sz="2" w:space="0" w:color="auto"/>
                <w:bottom w:val="single" w:sz="2" w:space="0" w:color="auto"/>
                <w:right w:val="single" w:sz="2" w:space="0" w:color="auto"/>
              </w:pBdr>
              <w:spacing w:before="0" w:beforeAutospacing="0" w:after="0" w:afterAutospacing="0"/>
              <w:rPr>
                <w:rFonts w:ascii="Arial" w:hAnsi="Arial" w:cs="Arial"/>
                <w:color w:val="000000"/>
                <w:sz w:val="22"/>
                <w:szCs w:val="22"/>
              </w:rPr>
            </w:pPr>
            <w:r w:rsidRPr="00D06C98">
              <w:rPr>
                <w:rFonts w:ascii="Arial" w:hAnsi="Arial" w:cs="Arial"/>
                <w:color w:val="000000"/>
                <w:sz w:val="22"/>
                <w:szCs w:val="22"/>
              </w:rPr>
              <w:t>Some arts activities have been linked with improvements in specific outcomes. For example, there is some evidence of the impact of drama on writing and potential link between music and spatial awareness.</w:t>
            </w:r>
          </w:p>
          <w:p w14:paraId="7BC137DC" w14:textId="77777777" w:rsidR="00AB4726" w:rsidRPr="00D06C98" w:rsidRDefault="00AB4726" w:rsidP="00AB4726">
            <w:pPr>
              <w:pStyle w:val="NormalWeb"/>
              <w:pBdr>
                <w:top w:val="single" w:sz="2" w:space="0" w:color="auto"/>
                <w:left w:val="single" w:sz="2" w:space="0" w:color="auto"/>
                <w:bottom w:val="single" w:sz="2" w:space="0" w:color="auto"/>
                <w:right w:val="single" w:sz="2" w:space="0" w:color="auto"/>
              </w:pBdr>
              <w:spacing w:before="0" w:beforeAutospacing="0" w:after="0" w:afterAutospacing="0"/>
              <w:rPr>
                <w:rFonts w:ascii="Arial" w:hAnsi="Arial" w:cs="Arial"/>
                <w:color w:val="000000"/>
                <w:sz w:val="22"/>
                <w:szCs w:val="22"/>
              </w:rPr>
            </w:pPr>
            <w:r w:rsidRPr="00D06C98">
              <w:rPr>
                <w:rFonts w:ascii="Arial" w:hAnsi="Arial" w:cs="Arial"/>
                <w:color w:val="000000"/>
                <w:sz w:val="22"/>
                <w:szCs w:val="22"/>
              </w:rPr>
              <w:t>Wider benefits such as more positive attitudes to learning and increased well-being have also consistently been reported.</w:t>
            </w:r>
          </w:p>
          <w:p w14:paraId="69186013" w14:textId="3703BC43" w:rsidR="00D06C98" w:rsidRPr="00D06C98" w:rsidRDefault="00D06C98">
            <w:pPr>
              <w:pStyle w:val="TableRowCentered"/>
              <w:jc w:val="left"/>
              <w:rPr>
                <w:rFonts w:cs="Arial"/>
                <w:sz w:val="22"/>
                <w:szCs w:val="22"/>
              </w:rPr>
            </w:pPr>
          </w:p>
          <w:p w14:paraId="255A1881" w14:textId="4C8AF6C9" w:rsidR="00D06C98" w:rsidRPr="00D06C98" w:rsidRDefault="00D06C98">
            <w:pPr>
              <w:pStyle w:val="TableRowCentered"/>
              <w:jc w:val="left"/>
              <w:rPr>
                <w:rFonts w:cs="Arial"/>
                <w:sz w:val="22"/>
                <w:szCs w:val="22"/>
              </w:rPr>
            </w:pPr>
            <w:r w:rsidRPr="00D06C98">
              <w:rPr>
                <w:rFonts w:cs="Arial"/>
                <w:sz w:val="22"/>
                <w:szCs w:val="22"/>
              </w:rPr>
              <w:t xml:space="preserve">Singing and music lessons provide children with additional skills in concentration and confidence. </w:t>
            </w:r>
          </w:p>
          <w:p w14:paraId="7AC01C1F" w14:textId="77777777" w:rsidR="00D06C98" w:rsidRPr="00D06C98" w:rsidRDefault="00D06C98" w:rsidP="00D06C98">
            <w:pPr>
              <w:numPr>
                <w:ilvl w:val="0"/>
                <w:numId w:val="17"/>
              </w:numPr>
              <w:pBdr>
                <w:top w:val="single" w:sz="2" w:space="0" w:color="auto"/>
                <w:left w:val="single" w:sz="2" w:space="22" w:color="auto"/>
                <w:bottom w:val="single" w:sz="2" w:space="0" w:color="auto"/>
                <w:right w:val="single" w:sz="2" w:space="0" w:color="auto"/>
              </w:pBdr>
              <w:shd w:val="clear" w:color="auto" w:fill="FFFFFF"/>
              <w:suppressAutoHyphens w:val="0"/>
              <w:autoSpaceDN/>
              <w:spacing w:before="144" w:after="144" w:line="240" w:lineRule="auto"/>
              <w:rPr>
                <w:rFonts w:cs="Arial"/>
                <w:color w:val="263238"/>
                <w:sz w:val="22"/>
                <w:szCs w:val="22"/>
              </w:rPr>
            </w:pPr>
            <w:r w:rsidRPr="00D06C98">
              <w:rPr>
                <w:rFonts w:cs="Arial"/>
                <w:color w:val="263238"/>
                <w:sz w:val="22"/>
                <w:szCs w:val="22"/>
              </w:rPr>
              <w:t>In general, the process evaluation suggested that pupils enjoyed participating in the program, and were engaged. Teachers also reported that some pupils’ confidence and social-skills improved during the program.</w:t>
            </w:r>
          </w:p>
          <w:p w14:paraId="686BC7C3" w14:textId="77777777" w:rsidR="00D06C98" w:rsidRPr="00D06C98" w:rsidRDefault="00D06C98">
            <w:pPr>
              <w:pStyle w:val="TableRowCentered"/>
              <w:jc w:val="left"/>
              <w:rPr>
                <w:rFonts w:cs="Arial"/>
                <w:sz w:val="22"/>
                <w:szCs w:val="22"/>
              </w:rPr>
            </w:pPr>
          </w:p>
          <w:p w14:paraId="2A7D553D" w14:textId="13F21024" w:rsidR="00B92B6B" w:rsidRPr="00D06C98" w:rsidRDefault="00D41AFA">
            <w:pPr>
              <w:pStyle w:val="TableRowCentered"/>
              <w:jc w:val="left"/>
              <w:rPr>
                <w:rFonts w:cs="Arial"/>
                <w:sz w:val="22"/>
                <w:szCs w:val="22"/>
              </w:rPr>
            </w:pPr>
            <w:hyperlink r:id="rId26" w:history="1">
              <w:r w:rsidR="00D06C98" w:rsidRPr="00D06C98">
                <w:rPr>
                  <w:rStyle w:val="Hyperlink"/>
                  <w:rFonts w:cs="Arial"/>
                  <w:sz w:val="22"/>
                  <w:szCs w:val="22"/>
                </w:rPr>
                <w:t>https://educationendowmentfoundation.org.uk/projects-and-evaluation/projects/act-sing-play</w:t>
              </w:r>
            </w:hyperlink>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96B076F" w:rsidR="00E66558" w:rsidRPr="00D06C98" w:rsidRDefault="00EF6FA9">
            <w:pPr>
              <w:pStyle w:val="TableRowCentered"/>
              <w:jc w:val="left"/>
              <w:rPr>
                <w:rFonts w:cs="Arial"/>
                <w:sz w:val="22"/>
                <w:szCs w:val="22"/>
              </w:rPr>
            </w:pPr>
            <w:r>
              <w:rPr>
                <w:rFonts w:cs="Arial"/>
                <w:sz w:val="22"/>
                <w:szCs w:val="22"/>
              </w:rPr>
              <w:t>4</w:t>
            </w:r>
          </w:p>
        </w:tc>
      </w:tr>
      <w:tr w:rsidR="00CA7643" w:rsidRPr="00D06C98" w14:paraId="70839CF6" w14:textId="77777777" w:rsidTr="00F029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2CB1" w14:textId="77777777" w:rsidR="00CA7643" w:rsidRDefault="00AA5FCB">
            <w:pPr>
              <w:pStyle w:val="TableRow"/>
              <w:rPr>
                <w:rFonts w:cs="Arial"/>
                <w:i/>
                <w:sz w:val="22"/>
                <w:szCs w:val="22"/>
              </w:rPr>
            </w:pPr>
            <w:r w:rsidRPr="00D06C98">
              <w:rPr>
                <w:rFonts w:cs="Arial"/>
                <w:i/>
                <w:sz w:val="22"/>
                <w:szCs w:val="22"/>
              </w:rPr>
              <w:lastRenderedPageBreak/>
              <w:t xml:space="preserve">Social Emotional Support and teaching in nurture groups and spaces across school by trained members of staff and planned and evaluated by the school special needs co-ordinator. </w:t>
            </w:r>
          </w:p>
          <w:p w14:paraId="42EC1D25" w14:textId="77777777" w:rsidR="007D48FA" w:rsidRDefault="007D48FA">
            <w:pPr>
              <w:pStyle w:val="TableRow"/>
              <w:rPr>
                <w:rFonts w:cs="Arial"/>
                <w:i/>
                <w:sz w:val="22"/>
                <w:szCs w:val="22"/>
              </w:rPr>
            </w:pPr>
          </w:p>
          <w:p w14:paraId="27E0A6C9" w14:textId="0339B5C9" w:rsidR="007D48FA" w:rsidRPr="00D06C98" w:rsidRDefault="007D48FA" w:rsidP="007D48FA">
            <w:pPr>
              <w:pStyle w:val="TableRow"/>
              <w:ind w:left="0"/>
              <w:rPr>
                <w:rFonts w:cs="Arial"/>
                <w:i/>
                <w:sz w:val="22"/>
                <w:szCs w:val="22"/>
              </w:rPr>
            </w:pPr>
            <w:r>
              <w:rPr>
                <w:rFonts w:cs="Arial"/>
                <w:i/>
                <w:sz w:val="22"/>
                <w:szCs w:val="22"/>
              </w:rPr>
              <w:t xml:space="preserve">Pupil counselling is also sought to provide an outlet for pupils experiencing difficulties in processing experiences, either current or past. </w:t>
            </w:r>
          </w:p>
        </w:tc>
        <w:tc>
          <w:tcPr>
            <w:tcW w:w="7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61FB1" w14:textId="525C46EF" w:rsidR="00AA5FCB" w:rsidRPr="00D06C98" w:rsidRDefault="00AA5FCB" w:rsidP="00AA5FCB">
            <w:pPr>
              <w:pStyle w:val="TableRowCentered"/>
              <w:ind w:left="0"/>
              <w:jc w:val="left"/>
              <w:rPr>
                <w:rFonts w:cs="Arial"/>
                <w:color w:val="263238"/>
                <w:sz w:val="22"/>
                <w:szCs w:val="22"/>
                <w:shd w:val="clear" w:color="auto" w:fill="FFFFFF"/>
              </w:rPr>
            </w:pPr>
            <w:r w:rsidRPr="00D06C98">
              <w:rPr>
                <w:rFonts w:cs="Arial"/>
                <w:color w:val="263238"/>
                <w:sz w:val="22"/>
                <w:szCs w:val="22"/>
                <w:shd w:val="clear" w:color="auto" w:fill="FFFFFF"/>
              </w:rPr>
              <w:t>Social and emotional learning (SEL) interventions seek to improve pupils’ decision-making skills, interaction with others and their self-management of emotions, rather than focusing directly on the academic or cognitive elements of learning.</w:t>
            </w:r>
          </w:p>
          <w:p w14:paraId="391A18AA" w14:textId="25B0A95A" w:rsidR="00AA5FCB" w:rsidRPr="00D06C98" w:rsidRDefault="00AA5FCB">
            <w:pPr>
              <w:pStyle w:val="TableRowCentered"/>
              <w:jc w:val="left"/>
              <w:rPr>
                <w:rFonts w:cs="Arial"/>
                <w:sz w:val="22"/>
                <w:szCs w:val="22"/>
              </w:rPr>
            </w:pPr>
            <w:r w:rsidRPr="00D06C98">
              <w:rPr>
                <w:rFonts w:cs="Arial"/>
                <w:color w:val="263238"/>
                <w:sz w:val="22"/>
                <w:szCs w:val="22"/>
                <w:shd w:val="clear" w:color="auto" w:fill="FFFFFF"/>
              </w:rPr>
              <w:t>Alongside academic outcomes, SEL interventions have an identifiable and valuable impact on attitudes to learning and social relationships in school.</w:t>
            </w:r>
          </w:p>
          <w:p w14:paraId="6211EE74" w14:textId="77777777" w:rsidR="00AA5FCB" w:rsidRPr="00D06C98" w:rsidRDefault="00AA5FCB">
            <w:pPr>
              <w:pStyle w:val="TableRowCentered"/>
              <w:jc w:val="left"/>
              <w:rPr>
                <w:rFonts w:cs="Arial"/>
                <w:sz w:val="22"/>
                <w:szCs w:val="22"/>
              </w:rPr>
            </w:pPr>
          </w:p>
          <w:p w14:paraId="706B23B7" w14:textId="005560FC" w:rsidR="00CA7643" w:rsidRPr="00D06C98" w:rsidRDefault="00D41AFA">
            <w:pPr>
              <w:pStyle w:val="TableRowCentered"/>
              <w:jc w:val="left"/>
              <w:rPr>
                <w:rFonts w:cs="Arial"/>
                <w:sz w:val="22"/>
                <w:szCs w:val="22"/>
              </w:rPr>
            </w:pPr>
            <w:hyperlink r:id="rId27" w:history="1">
              <w:r w:rsidR="00AA5FCB" w:rsidRPr="00D06C98">
                <w:rPr>
                  <w:rStyle w:val="Hyperlink"/>
                  <w:rFonts w:cs="Arial"/>
                  <w:sz w:val="22"/>
                  <w:szCs w:val="22"/>
                </w:rPr>
                <w:t>https://educationendowmentfoundation.org.uk/education-evidence/teaching-learning-toolkit/social-and-emotional-learning</w:t>
              </w:r>
            </w:hyperlink>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6143F" w14:textId="3A08E2F9" w:rsidR="00CA7643" w:rsidRPr="00D06C98" w:rsidRDefault="00EF6FA9">
            <w:pPr>
              <w:pStyle w:val="TableRowCentered"/>
              <w:jc w:val="left"/>
              <w:rPr>
                <w:rFonts w:cs="Arial"/>
                <w:sz w:val="22"/>
                <w:szCs w:val="22"/>
              </w:rPr>
            </w:pPr>
            <w:r>
              <w:rPr>
                <w:rFonts w:cs="Arial"/>
                <w:sz w:val="22"/>
                <w:szCs w:val="22"/>
              </w:rPr>
              <w:t>4</w:t>
            </w:r>
          </w:p>
        </w:tc>
      </w:tr>
      <w:tr w:rsidR="00AB4726" w:rsidRPr="00D06C98" w14:paraId="7520DC47" w14:textId="77777777" w:rsidTr="00F02977">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81DBF" w14:textId="77777777" w:rsidR="00AB4726" w:rsidRPr="00AB4726" w:rsidRDefault="00AB4726" w:rsidP="00AB4726">
            <w:pPr>
              <w:suppressAutoHyphens w:val="0"/>
              <w:autoSpaceDN/>
              <w:spacing w:before="60" w:after="60" w:line="240" w:lineRule="auto"/>
              <w:ind w:left="29" w:right="57"/>
              <w:rPr>
                <w:rFonts w:cs="Arial"/>
                <w:iCs/>
                <w:color w:val="auto"/>
                <w:sz w:val="22"/>
                <w:szCs w:val="22"/>
                <w:lang w:val="en-US"/>
              </w:rPr>
            </w:pPr>
            <w:r w:rsidRPr="00AB4726">
              <w:rPr>
                <w:rFonts w:cs="Arial"/>
                <w:iCs/>
                <w:color w:val="auto"/>
                <w:sz w:val="22"/>
                <w:szCs w:val="22"/>
                <w:lang w:val="en-US"/>
              </w:rPr>
              <w:t>Contingency fund for acute issues.</w:t>
            </w:r>
          </w:p>
          <w:p w14:paraId="0E2E5F67" w14:textId="77777777" w:rsidR="00AB4726" w:rsidRPr="00D06C98" w:rsidRDefault="00AB4726">
            <w:pPr>
              <w:pStyle w:val="TableRow"/>
              <w:rPr>
                <w:rFonts w:cs="Arial"/>
                <w:i/>
                <w:sz w:val="22"/>
                <w:szCs w:val="22"/>
              </w:rPr>
            </w:pPr>
          </w:p>
        </w:tc>
        <w:tc>
          <w:tcPr>
            <w:tcW w:w="7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7972" w14:textId="60FA8BFA" w:rsidR="00AB4726" w:rsidRPr="00AB4726" w:rsidRDefault="00AB4726" w:rsidP="00AB4726">
            <w:pPr>
              <w:suppressAutoHyphens w:val="0"/>
              <w:autoSpaceDN/>
              <w:spacing w:before="60" w:after="60" w:line="240" w:lineRule="auto"/>
              <w:ind w:left="29" w:right="57"/>
              <w:rPr>
                <w:rFonts w:cs="Arial"/>
                <w:iCs/>
                <w:color w:val="auto"/>
                <w:sz w:val="22"/>
                <w:szCs w:val="22"/>
                <w:lang w:val="en-US"/>
              </w:rPr>
            </w:pPr>
            <w:r w:rsidRPr="00D06C98">
              <w:rPr>
                <w:rFonts w:cs="Arial"/>
                <w:color w:val="auto"/>
                <w:sz w:val="22"/>
                <w:szCs w:val="22"/>
              </w:rPr>
              <w:t>Based on our experiences and those of similar schools to ours, we have identified a need to set a small amount of funding aside to respond quickly to needs that have not yet been identified.</w:t>
            </w:r>
          </w:p>
          <w:p w14:paraId="240EBABA" w14:textId="77777777" w:rsidR="00AB4726" w:rsidRPr="00D06C98" w:rsidRDefault="00AB4726" w:rsidP="00AA5FCB">
            <w:pPr>
              <w:pStyle w:val="TableRowCentered"/>
              <w:ind w:left="0"/>
              <w:jc w:val="left"/>
              <w:rPr>
                <w:rFonts w:cs="Arial"/>
                <w:color w:val="263238"/>
                <w:sz w:val="22"/>
                <w:szCs w:val="22"/>
                <w:shd w:val="clear" w:color="auto" w:fill="FFFFFF"/>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E2FE9" w14:textId="77777777" w:rsidR="00AB4726" w:rsidRPr="00D06C98" w:rsidRDefault="00AB4726">
            <w:pPr>
              <w:pStyle w:val="TableRowCentered"/>
              <w:jc w:val="left"/>
              <w:rPr>
                <w:rFonts w:cs="Arial"/>
                <w:sz w:val="22"/>
                <w:szCs w:val="22"/>
              </w:rPr>
            </w:pPr>
          </w:p>
        </w:tc>
      </w:tr>
    </w:tbl>
    <w:p w14:paraId="2A7D5540" w14:textId="77777777" w:rsidR="00E66558" w:rsidRPr="00D06C98" w:rsidRDefault="00E66558">
      <w:pPr>
        <w:spacing w:before="240" w:after="0"/>
        <w:rPr>
          <w:rFonts w:cs="Arial"/>
          <w:b/>
          <w:bCs/>
          <w:color w:val="104F75"/>
          <w:sz w:val="22"/>
          <w:szCs w:val="22"/>
        </w:rPr>
      </w:pPr>
    </w:p>
    <w:p w14:paraId="2A7D5541" w14:textId="1726CA03" w:rsidR="00E66558" w:rsidRPr="00D06C98" w:rsidRDefault="009D71E8" w:rsidP="00120AB1">
      <w:pPr>
        <w:rPr>
          <w:rFonts w:cs="Arial"/>
          <w:sz w:val="22"/>
          <w:szCs w:val="22"/>
        </w:rPr>
      </w:pPr>
      <w:r w:rsidRPr="00D06C98">
        <w:rPr>
          <w:rFonts w:cs="Arial"/>
          <w:b/>
          <w:bCs/>
          <w:color w:val="104F75"/>
          <w:sz w:val="22"/>
          <w:szCs w:val="22"/>
        </w:rPr>
        <w:t xml:space="preserve">Total budgeted cost: £ </w:t>
      </w:r>
      <w:r w:rsidR="004F07CD">
        <w:rPr>
          <w:rFonts w:cs="Arial"/>
          <w:i/>
          <w:iCs/>
          <w:color w:val="104F75"/>
          <w:sz w:val="22"/>
          <w:szCs w:val="22"/>
        </w:rPr>
        <w:t>170,000</w:t>
      </w:r>
    </w:p>
    <w:p w14:paraId="2A7D5542" w14:textId="77777777" w:rsidR="00E66558" w:rsidRPr="00D06C98" w:rsidRDefault="009D71E8">
      <w:pPr>
        <w:pStyle w:val="Heading1"/>
        <w:rPr>
          <w:rFonts w:cs="Arial"/>
          <w:sz w:val="22"/>
          <w:szCs w:val="22"/>
        </w:rPr>
      </w:pPr>
      <w:r w:rsidRPr="00D06C98">
        <w:rPr>
          <w:rFonts w:cs="Arial"/>
          <w:sz w:val="22"/>
          <w:szCs w:val="22"/>
        </w:rPr>
        <w:lastRenderedPageBreak/>
        <w:t>Part B: Review of outcomes in the previous academic year</w:t>
      </w:r>
    </w:p>
    <w:p w14:paraId="2A7D5543" w14:textId="77777777" w:rsidR="00E66558" w:rsidRPr="00D06C98" w:rsidRDefault="009D71E8">
      <w:pPr>
        <w:pStyle w:val="Heading2"/>
        <w:rPr>
          <w:rFonts w:cs="Arial"/>
          <w:sz w:val="22"/>
          <w:szCs w:val="22"/>
        </w:rPr>
      </w:pPr>
      <w:r w:rsidRPr="00D06C98">
        <w:rPr>
          <w:rFonts w:cs="Arial"/>
          <w:sz w:val="22"/>
          <w:szCs w:val="22"/>
        </w:rPr>
        <w:t>Pupil premium strategy outcomes</w:t>
      </w:r>
    </w:p>
    <w:p w14:paraId="2A7D5544" w14:textId="77777777" w:rsidR="00E66558" w:rsidRPr="00D06C98" w:rsidRDefault="009D71E8">
      <w:pPr>
        <w:rPr>
          <w:rFonts w:cs="Arial"/>
          <w:sz w:val="22"/>
          <w:szCs w:val="22"/>
        </w:rPr>
      </w:pPr>
      <w:r w:rsidRPr="00D06C98">
        <w:rPr>
          <w:rFonts w:cs="Arial"/>
          <w:sz w:val="22"/>
          <w:szCs w:val="22"/>
        </w:rPr>
        <w:t xml:space="preserve">This details the impact that our pupil premium activity had on pupils in the 2020 to 2021 academic year. </w:t>
      </w:r>
    </w:p>
    <w:tbl>
      <w:tblPr>
        <w:tblW w:w="14596" w:type="dxa"/>
        <w:tblCellMar>
          <w:left w:w="10" w:type="dxa"/>
          <w:right w:w="10" w:type="dxa"/>
        </w:tblCellMar>
        <w:tblLook w:val="04A0" w:firstRow="1" w:lastRow="0" w:firstColumn="1" w:lastColumn="0" w:noHBand="0" w:noVBand="1"/>
      </w:tblPr>
      <w:tblGrid>
        <w:gridCol w:w="14596"/>
      </w:tblGrid>
      <w:tr w:rsidR="00E66558" w:rsidRPr="00D06C98" w14:paraId="2A7D5547" w14:textId="77777777" w:rsidTr="009265B5">
        <w:trPr>
          <w:trHeight w:val="1102"/>
        </w:trPr>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5653F599" w:rsidR="004F07CD" w:rsidRDefault="009D71E8" w:rsidP="004F07CD">
            <w:pPr>
              <w:spacing w:before="120"/>
              <w:rPr>
                <w:rFonts w:cs="Arial"/>
                <w:i/>
                <w:sz w:val="22"/>
                <w:szCs w:val="22"/>
              </w:rPr>
            </w:pPr>
            <w:r w:rsidRPr="00D06C98">
              <w:rPr>
                <w:rFonts w:cs="Arial"/>
                <w:i/>
                <w:sz w:val="22"/>
                <w:szCs w:val="22"/>
              </w:rPr>
              <w:t xml:space="preserve">Due to COVID-19, performance measures have not been published for 2020 to 2021, and 2020 to 2021 results will not be used to hold schools to account. </w:t>
            </w:r>
          </w:p>
          <w:p w14:paraId="26EF7BB5" w14:textId="46A2CC4C" w:rsidR="004F07CD" w:rsidRDefault="004F07CD" w:rsidP="004F07CD">
            <w:pPr>
              <w:spacing w:before="120"/>
              <w:rPr>
                <w:rFonts w:cs="Arial"/>
                <w:i/>
                <w:sz w:val="22"/>
                <w:szCs w:val="22"/>
              </w:rPr>
            </w:pPr>
            <w:r>
              <w:rPr>
                <w:rFonts w:cs="Arial"/>
                <w:i/>
                <w:sz w:val="22"/>
                <w:szCs w:val="22"/>
              </w:rPr>
              <w:t>Key Areas of Impact:</w:t>
            </w:r>
          </w:p>
          <w:p w14:paraId="2F0B3220" w14:textId="0FB848A6" w:rsidR="00E66558" w:rsidRPr="004F07CD" w:rsidRDefault="004F07CD" w:rsidP="004F07CD">
            <w:pPr>
              <w:pStyle w:val="ListParagraph"/>
              <w:numPr>
                <w:ilvl w:val="0"/>
                <w:numId w:val="19"/>
              </w:numPr>
              <w:spacing w:before="120"/>
              <w:rPr>
                <w:rFonts w:cs="Arial"/>
                <w:color w:val="548DD4" w:themeColor="text2" w:themeTint="99"/>
                <w:sz w:val="22"/>
                <w:szCs w:val="22"/>
              </w:rPr>
            </w:pPr>
            <w:r w:rsidRPr="004F07CD">
              <w:rPr>
                <w:color w:val="548DD4" w:themeColor="text2" w:themeTint="99"/>
              </w:rPr>
              <w:t xml:space="preserve">Family Support- Learning mentor has supported families throughout the past year with mental health signposting as well as supporting families to access additional food. Referrals have been made via school to the Early Help team to support families over a very challenging year. </w:t>
            </w:r>
          </w:p>
          <w:p w14:paraId="4C5F3425" w14:textId="77777777" w:rsidR="004F07CD" w:rsidRPr="004F07CD" w:rsidRDefault="004F07CD" w:rsidP="004F07CD">
            <w:pPr>
              <w:pStyle w:val="ListParagraph"/>
              <w:numPr>
                <w:ilvl w:val="0"/>
                <w:numId w:val="19"/>
              </w:numPr>
              <w:spacing w:before="120"/>
              <w:rPr>
                <w:rFonts w:cs="Arial"/>
                <w:color w:val="548DD4" w:themeColor="text2" w:themeTint="99"/>
                <w:sz w:val="22"/>
                <w:szCs w:val="22"/>
              </w:rPr>
            </w:pPr>
            <w:r w:rsidRPr="004F07CD">
              <w:rPr>
                <w:rFonts w:cs="Arial"/>
                <w:color w:val="548DD4" w:themeColor="text2" w:themeTint="99"/>
                <w:sz w:val="22"/>
                <w:szCs w:val="22"/>
              </w:rPr>
              <w:t xml:space="preserve">Attendance on the wider return to school in September is above national expectations for all pupils at 93.3% </w:t>
            </w:r>
          </w:p>
          <w:p w14:paraId="105C3CBE" w14:textId="279613F8" w:rsidR="004F07CD" w:rsidRPr="004F07CD" w:rsidRDefault="004F07CD" w:rsidP="004F07CD">
            <w:pPr>
              <w:pStyle w:val="ListParagraph"/>
              <w:numPr>
                <w:ilvl w:val="0"/>
                <w:numId w:val="19"/>
              </w:numPr>
              <w:spacing w:before="120"/>
              <w:rPr>
                <w:rFonts w:cs="Arial"/>
                <w:color w:val="548DD4" w:themeColor="text2" w:themeTint="99"/>
                <w:sz w:val="22"/>
                <w:szCs w:val="22"/>
              </w:rPr>
            </w:pPr>
            <w:r w:rsidRPr="004F07CD">
              <w:rPr>
                <w:rFonts w:cs="Arial"/>
                <w:color w:val="548DD4" w:themeColor="text2" w:themeTint="99"/>
                <w:sz w:val="22"/>
                <w:szCs w:val="22"/>
              </w:rPr>
              <w:t xml:space="preserve">Interventions have continued to have an impact on pupils learning through high quality training and support plans. This is evident in internal data across school. </w:t>
            </w:r>
          </w:p>
          <w:p w14:paraId="6C71F8BC" w14:textId="77777777" w:rsidR="004F07CD" w:rsidRPr="004F07CD" w:rsidRDefault="004F07CD" w:rsidP="004F07CD">
            <w:pPr>
              <w:pStyle w:val="ListParagraph"/>
              <w:numPr>
                <w:ilvl w:val="0"/>
                <w:numId w:val="19"/>
              </w:numPr>
              <w:spacing w:before="120"/>
              <w:rPr>
                <w:rFonts w:cs="Arial"/>
                <w:color w:val="548DD4" w:themeColor="text2" w:themeTint="99"/>
                <w:sz w:val="22"/>
                <w:szCs w:val="22"/>
              </w:rPr>
            </w:pPr>
            <w:r w:rsidRPr="004F07CD">
              <w:rPr>
                <w:rFonts w:cs="Arial"/>
                <w:color w:val="548DD4" w:themeColor="text2" w:themeTint="99"/>
                <w:sz w:val="22"/>
                <w:szCs w:val="22"/>
              </w:rPr>
              <w:t xml:space="preserve">Additional support packages and training has been purchased to support the acquisition or speech and language in the early years. </w:t>
            </w:r>
          </w:p>
          <w:p w14:paraId="0D0C6488" w14:textId="77777777" w:rsidR="004F07CD" w:rsidRPr="004F07CD" w:rsidRDefault="004F07CD" w:rsidP="004F07CD">
            <w:pPr>
              <w:pStyle w:val="ListParagraph"/>
              <w:numPr>
                <w:ilvl w:val="0"/>
                <w:numId w:val="19"/>
              </w:numPr>
              <w:spacing w:before="120"/>
              <w:rPr>
                <w:rFonts w:cs="Arial"/>
                <w:color w:val="548DD4" w:themeColor="text2" w:themeTint="99"/>
                <w:sz w:val="22"/>
                <w:szCs w:val="22"/>
              </w:rPr>
            </w:pPr>
            <w:r w:rsidRPr="004F07CD">
              <w:rPr>
                <w:rFonts w:cs="Arial"/>
                <w:color w:val="548DD4" w:themeColor="text2" w:themeTint="99"/>
                <w:sz w:val="22"/>
                <w:szCs w:val="22"/>
              </w:rPr>
              <w:t>Music lessons have been provided for pupil premium children showing a particular interest or talent in music.</w:t>
            </w:r>
          </w:p>
          <w:p w14:paraId="2A7D5546" w14:textId="0111DEA8" w:rsidR="004F07CD" w:rsidRPr="00D06C98" w:rsidRDefault="004F07CD" w:rsidP="004F07CD">
            <w:pPr>
              <w:pStyle w:val="ListParagraph"/>
              <w:numPr>
                <w:ilvl w:val="0"/>
                <w:numId w:val="19"/>
              </w:numPr>
              <w:spacing w:before="120"/>
              <w:rPr>
                <w:rFonts w:cs="Arial"/>
                <w:sz w:val="22"/>
                <w:szCs w:val="22"/>
              </w:rPr>
            </w:pPr>
            <w:r w:rsidRPr="004F07CD">
              <w:rPr>
                <w:rFonts w:cs="Arial"/>
                <w:color w:val="548DD4" w:themeColor="text2" w:themeTint="99"/>
                <w:sz w:val="22"/>
                <w:szCs w:val="22"/>
              </w:rPr>
              <w:t xml:space="preserve">Additional teaching for phonics has been sought through the </w:t>
            </w:r>
            <w:proofErr w:type="spellStart"/>
            <w:r w:rsidRPr="004F07CD">
              <w:rPr>
                <w:rFonts w:cs="Arial"/>
                <w:color w:val="548DD4" w:themeColor="text2" w:themeTint="99"/>
                <w:sz w:val="22"/>
                <w:szCs w:val="22"/>
              </w:rPr>
              <w:t>Covid</w:t>
            </w:r>
            <w:proofErr w:type="spellEnd"/>
            <w:r w:rsidRPr="004F07CD">
              <w:rPr>
                <w:rFonts w:cs="Arial"/>
                <w:color w:val="548DD4" w:themeColor="text2" w:themeTint="99"/>
                <w:sz w:val="22"/>
                <w:szCs w:val="22"/>
              </w:rPr>
              <w:t xml:space="preserve"> Catch Up funding in order to ensure pupils in key stage 1 catch up on lost learning.</w:t>
            </w:r>
          </w:p>
        </w:tc>
      </w:tr>
    </w:tbl>
    <w:p w14:paraId="2A7D5564" w14:textId="77777777" w:rsidR="00E66558" w:rsidRPr="00D06C98" w:rsidRDefault="00E66558" w:rsidP="00EF6FA9">
      <w:pPr>
        <w:pStyle w:val="Heading1"/>
        <w:rPr>
          <w:rFonts w:cs="Arial"/>
          <w:sz w:val="22"/>
          <w:szCs w:val="22"/>
        </w:rPr>
      </w:pPr>
      <w:bookmarkStart w:id="17" w:name="_GoBack"/>
      <w:bookmarkEnd w:id="14"/>
      <w:bookmarkEnd w:id="15"/>
      <w:bookmarkEnd w:id="16"/>
      <w:bookmarkEnd w:id="17"/>
    </w:p>
    <w:sectPr w:rsidR="00E66558" w:rsidRPr="00D06C98" w:rsidSect="00D06C98">
      <w:headerReference w:type="default" r:id="rId28"/>
      <w:footerReference w:type="default" r:id="rId29"/>
      <w:pgSz w:w="16838" w:h="11906" w:orient="landscape"/>
      <w:pgMar w:top="1276" w:right="1134"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4F07CD" w:rsidRDefault="004F07CD">
      <w:pPr>
        <w:spacing w:after="0" w:line="240" w:lineRule="auto"/>
      </w:pPr>
      <w:r>
        <w:separator/>
      </w:r>
    </w:p>
  </w:endnote>
  <w:endnote w:type="continuationSeparator" w:id="0">
    <w:p w14:paraId="183EE776" w14:textId="77777777" w:rsidR="004F07CD" w:rsidRDefault="004F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16B31DFB" w:rsidR="004F07CD" w:rsidRDefault="004F07CD">
    <w:pPr>
      <w:pStyle w:val="Footer"/>
      <w:ind w:firstLine="4513"/>
    </w:pPr>
    <w:r>
      <w:fldChar w:fldCharType="begin"/>
    </w:r>
    <w:r>
      <w:instrText xml:space="preserve"> PAGE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4F07CD" w:rsidRDefault="004F07CD">
      <w:pPr>
        <w:spacing w:after="0" w:line="240" w:lineRule="auto"/>
      </w:pPr>
      <w:r>
        <w:separator/>
      </w:r>
    </w:p>
  </w:footnote>
  <w:footnote w:type="continuationSeparator" w:id="0">
    <w:p w14:paraId="5021A7ED" w14:textId="77777777" w:rsidR="004F07CD" w:rsidRDefault="004F0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4F07CD" w:rsidRDefault="004F0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266"/>
    <w:multiLevelType w:val="hybridMultilevel"/>
    <w:tmpl w:val="DF7E90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C0A73"/>
    <w:multiLevelType w:val="hybridMultilevel"/>
    <w:tmpl w:val="0F48B7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20C86"/>
    <w:multiLevelType w:val="multilevel"/>
    <w:tmpl w:val="38022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5" w15:restartNumberingAfterBreak="0">
    <w:nsid w:val="70FC4B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69469FA"/>
    <w:multiLevelType w:val="multilevel"/>
    <w:tmpl w:val="E214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7"/>
  </w:num>
  <w:num w:numId="5">
    <w:abstractNumId w:val="2"/>
  </w:num>
  <w:num w:numId="6">
    <w:abstractNumId w:val="8"/>
  </w:num>
  <w:num w:numId="7">
    <w:abstractNumId w:val="12"/>
  </w:num>
  <w:num w:numId="8">
    <w:abstractNumId w:val="18"/>
  </w:num>
  <w:num w:numId="9">
    <w:abstractNumId w:val="16"/>
  </w:num>
  <w:num w:numId="10">
    <w:abstractNumId w:val="13"/>
  </w:num>
  <w:num w:numId="11">
    <w:abstractNumId w:val="4"/>
  </w:num>
  <w:num w:numId="12">
    <w:abstractNumId w:val="17"/>
  </w:num>
  <w:num w:numId="13">
    <w:abstractNumId w:val="11"/>
  </w:num>
  <w:num w:numId="14">
    <w:abstractNumId w:val="10"/>
  </w:num>
  <w:num w:numId="15">
    <w:abstractNumId w:val="9"/>
  </w:num>
  <w:num w:numId="16">
    <w:abstractNumId w:val="14"/>
  </w:num>
  <w:num w:numId="17">
    <w:abstractNumId w:val="19"/>
  </w:num>
  <w:num w:numId="18">
    <w:abstractNumId w:val="15"/>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72A77"/>
    <w:rsid w:val="000B2375"/>
    <w:rsid w:val="00120AB1"/>
    <w:rsid w:val="001D4D9A"/>
    <w:rsid w:val="0022312B"/>
    <w:rsid w:val="0033686B"/>
    <w:rsid w:val="003719FC"/>
    <w:rsid w:val="003B1DC9"/>
    <w:rsid w:val="003C3B7C"/>
    <w:rsid w:val="003D5FA4"/>
    <w:rsid w:val="004044AA"/>
    <w:rsid w:val="00451181"/>
    <w:rsid w:val="00457EE4"/>
    <w:rsid w:val="004623B0"/>
    <w:rsid w:val="004D7125"/>
    <w:rsid w:val="004F07CD"/>
    <w:rsid w:val="00570C39"/>
    <w:rsid w:val="00574209"/>
    <w:rsid w:val="0058036A"/>
    <w:rsid w:val="005B25F6"/>
    <w:rsid w:val="005C5ED8"/>
    <w:rsid w:val="00654C58"/>
    <w:rsid w:val="0066067C"/>
    <w:rsid w:val="00695629"/>
    <w:rsid w:val="006E7FB1"/>
    <w:rsid w:val="00705E57"/>
    <w:rsid w:val="00741B9E"/>
    <w:rsid w:val="00754A0F"/>
    <w:rsid w:val="0075563A"/>
    <w:rsid w:val="007A5DD9"/>
    <w:rsid w:val="007C2F04"/>
    <w:rsid w:val="007D48FA"/>
    <w:rsid w:val="007F7D44"/>
    <w:rsid w:val="00883E43"/>
    <w:rsid w:val="008F1E37"/>
    <w:rsid w:val="009265B5"/>
    <w:rsid w:val="009D71E8"/>
    <w:rsid w:val="00A0098E"/>
    <w:rsid w:val="00A431BC"/>
    <w:rsid w:val="00A94B21"/>
    <w:rsid w:val="00AA5FCB"/>
    <w:rsid w:val="00AB4726"/>
    <w:rsid w:val="00B57245"/>
    <w:rsid w:val="00B80A34"/>
    <w:rsid w:val="00B8770C"/>
    <w:rsid w:val="00B92B6B"/>
    <w:rsid w:val="00BA64D0"/>
    <w:rsid w:val="00CA7643"/>
    <w:rsid w:val="00CB7D98"/>
    <w:rsid w:val="00D06C98"/>
    <w:rsid w:val="00D14269"/>
    <w:rsid w:val="00D24633"/>
    <w:rsid w:val="00D33FE5"/>
    <w:rsid w:val="00DF448F"/>
    <w:rsid w:val="00E47D52"/>
    <w:rsid w:val="00E66558"/>
    <w:rsid w:val="00E73BB0"/>
    <w:rsid w:val="00E87DB2"/>
    <w:rsid w:val="00ED3997"/>
    <w:rsid w:val="00EF6FA9"/>
    <w:rsid w:val="00F02977"/>
    <w:rsid w:val="00F2110A"/>
    <w:rsid w:val="00F2583C"/>
    <w:rsid w:val="00FE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UnresolvedMention">
    <w:name w:val="Unresolved Mention"/>
    <w:basedOn w:val="DefaultParagraphFont"/>
    <w:uiPriority w:val="99"/>
    <w:semiHidden/>
    <w:unhideWhenUsed/>
    <w:rsid w:val="00695629"/>
    <w:rPr>
      <w:color w:val="605E5C"/>
      <w:shd w:val="clear" w:color="auto" w:fill="E1DFDD"/>
    </w:rPr>
  </w:style>
  <w:style w:type="paragraph" w:styleId="NormalWeb">
    <w:name w:val="Normal (Web)"/>
    <w:basedOn w:val="Normal"/>
    <w:uiPriority w:val="99"/>
    <w:semiHidden/>
    <w:unhideWhenUsed/>
    <w:rsid w:val="00AB4726"/>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4F07CD"/>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30104">
      <w:bodyDiv w:val="1"/>
      <w:marLeft w:val="0"/>
      <w:marRight w:val="0"/>
      <w:marTop w:val="0"/>
      <w:marBottom w:val="0"/>
      <w:divBdr>
        <w:top w:val="none" w:sz="0" w:space="0" w:color="auto"/>
        <w:left w:val="none" w:sz="0" w:space="0" w:color="auto"/>
        <w:bottom w:val="none" w:sz="0" w:space="0" w:color="auto"/>
        <w:right w:val="none" w:sz="0" w:space="0" w:color="auto"/>
      </w:divBdr>
      <w:divsChild>
        <w:div w:id="67113276">
          <w:marLeft w:val="0"/>
          <w:marRight w:val="4800"/>
          <w:marTop w:val="0"/>
          <w:marBottom w:val="0"/>
          <w:divBdr>
            <w:top w:val="single" w:sz="2" w:space="0" w:color="auto"/>
            <w:left w:val="single" w:sz="2" w:space="0" w:color="auto"/>
            <w:bottom w:val="single" w:sz="2" w:space="0" w:color="auto"/>
            <w:right w:val="single" w:sz="2" w:space="0" w:color="auto"/>
          </w:divBdr>
          <w:divsChild>
            <w:div w:id="2057314093">
              <w:marLeft w:val="0"/>
              <w:marRight w:val="0"/>
              <w:marTop w:val="0"/>
              <w:marBottom w:val="0"/>
              <w:divBdr>
                <w:top w:val="single" w:sz="2" w:space="0" w:color="auto"/>
                <w:left w:val="single" w:sz="2" w:space="0" w:color="auto"/>
                <w:bottom w:val="single" w:sz="2" w:space="0" w:color="auto"/>
                <w:right w:val="single" w:sz="2" w:space="0" w:color="auto"/>
              </w:divBdr>
            </w:div>
          </w:divsChild>
        </w:div>
        <w:div w:id="1271351073">
          <w:marLeft w:val="4800"/>
          <w:marRight w:val="4800"/>
          <w:marTop w:val="0"/>
          <w:marBottom w:val="0"/>
          <w:divBdr>
            <w:top w:val="single" w:sz="2" w:space="0" w:color="auto"/>
            <w:left w:val="single" w:sz="2" w:space="0" w:color="auto"/>
            <w:bottom w:val="single" w:sz="2" w:space="0" w:color="auto"/>
            <w:right w:val="single" w:sz="2" w:space="0" w:color="auto"/>
          </w:divBdr>
          <w:divsChild>
            <w:div w:id="1063262325">
              <w:marLeft w:val="0"/>
              <w:marRight w:val="0"/>
              <w:marTop w:val="0"/>
              <w:marBottom w:val="0"/>
              <w:divBdr>
                <w:top w:val="single" w:sz="2" w:space="0" w:color="auto"/>
                <w:left w:val="single" w:sz="2" w:space="0" w:color="auto"/>
                <w:bottom w:val="single" w:sz="2" w:space="0" w:color="auto"/>
                <w:right w:val="single" w:sz="2" w:space="0" w:color="auto"/>
              </w:divBdr>
            </w:div>
          </w:divsChild>
        </w:div>
        <w:div w:id="1024206172">
          <w:marLeft w:val="4800"/>
          <w:marRight w:val="4800"/>
          <w:marTop w:val="0"/>
          <w:marBottom w:val="0"/>
          <w:divBdr>
            <w:top w:val="single" w:sz="2" w:space="0" w:color="auto"/>
            <w:left w:val="single" w:sz="2" w:space="0" w:color="auto"/>
            <w:bottom w:val="single" w:sz="2" w:space="0" w:color="auto"/>
            <w:right w:val="single" w:sz="2" w:space="0" w:color="auto"/>
          </w:divBdr>
          <w:divsChild>
            <w:div w:id="1446658194">
              <w:marLeft w:val="0"/>
              <w:marRight w:val="0"/>
              <w:marTop w:val="0"/>
              <w:marBottom w:val="0"/>
              <w:divBdr>
                <w:top w:val="single" w:sz="2" w:space="0" w:color="auto"/>
                <w:left w:val="single" w:sz="2" w:space="0" w:color="auto"/>
                <w:bottom w:val="single" w:sz="2" w:space="0" w:color="auto"/>
                <w:right w:val="single" w:sz="2" w:space="0" w:color="auto"/>
              </w:divBdr>
            </w:div>
          </w:divsChild>
        </w:div>
        <w:div w:id="1289967562">
          <w:marLeft w:val="4800"/>
          <w:marRight w:val="4800"/>
          <w:marTop w:val="0"/>
          <w:marBottom w:val="0"/>
          <w:divBdr>
            <w:top w:val="single" w:sz="2" w:space="0" w:color="auto"/>
            <w:left w:val="single" w:sz="2" w:space="0" w:color="auto"/>
            <w:bottom w:val="single" w:sz="2" w:space="0" w:color="auto"/>
            <w:right w:val="single" w:sz="2" w:space="0" w:color="auto"/>
          </w:divBdr>
          <w:divsChild>
            <w:div w:id="1145319339">
              <w:marLeft w:val="0"/>
              <w:marRight w:val="0"/>
              <w:marTop w:val="0"/>
              <w:marBottom w:val="0"/>
              <w:divBdr>
                <w:top w:val="single" w:sz="2" w:space="0" w:color="auto"/>
                <w:left w:val="single" w:sz="2" w:space="0" w:color="auto"/>
                <w:bottom w:val="single" w:sz="2" w:space="0" w:color="auto"/>
                <w:right w:val="single" w:sz="2" w:space="0" w:color="auto"/>
              </w:divBdr>
            </w:div>
          </w:divsChild>
        </w:div>
        <w:div w:id="1591740571">
          <w:marLeft w:val="4800"/>
          <w:marRight w:val="4800"/>
          <w:marTop w:val="0"/>
          <w:marBottom w:val="0"/>
          <w:divBdr>
            <w:top w:val="single" w:sz="2" w:space="0" w:color="auto"/>
            <w:left w:val="single" w:sz="2" w:space="0" w:color="auto"/>
            <w:bottom w:val="single" w:sz="2" w:space="0" w:color="auto"/>
            <w:right w:val="single" w:sz="2" w:space="0" w:color="auto"/>
          </w:divBdr>
          <w:divsChild>
            <w:div w:id="2086170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23554034">
      <w:bodyDiv w:val="1"/>
      <w:marLeft w:val="0"/>
      <w:marRight w:val="0"/>
      <w:marTop w:val="0"/>
      <w:marBottom w:val="0"/>
      <w:divBdr>
        <w:top w:val="none" w:sz="0" w:space="0" w:color="auto"/>
        <w:left w:val="none" w:sz="0" w:space="0" w:color="auto"/>
        <w:bottom w:val="none" w:sz="0" w:space="0" w:color="auto"/>
        <w:right w:val="none" w:sz="0" w:space="0" w:color="auto"/>
      </w:divBdr>
      <w:divsChild>
        <w:div w:id="2089108264">
          <w:marLeft w:val="4553"/>
          <w:marRight w:val="4553"/>
          <w:marTop w:val="0"/>
          <w:marBottom w:val="0"/>
          <w:divBdr>
            <w:top w:val="single" w:sz="2" w:space="0" w:color="auto"/>
            <w:left w:val="single" w:sz="2" w:space="0" w:color="auto"/>
            <w:bottom w:val="single" w:sz="2" w:space="0" w:color="auto"/>
            <w:right w:val="single" w:sz="2" w:space="0" w:color="auto"/>
          </w:divBdr>
          <w:divsChild>
            <w:div w:id="769814619">
              <w:marLeft w:val="0"/>
              <w:marRight w:val="0"/>
              <w:marTop w:val="0"/>
              <w:marBottom w:val="0"/>
              <w:divBdr>
                <w:top w:val="single" w:sz="2" w:space="0" w:color="auto"/>
                <w:left w:val="single" w:sz="2" w:space="0" w:color="auto"/>
                <w:bottom w:val="single" w:sz="2" w:space="0" w:color="auto"/>
                <w:right w:val="single" w:sz="2" w:space="0" w:color="auto"/>
              </w:divBdr>
            </w:div>
          </w:divsChild>
        </w:div>
        <w:div w:id="446316543">
          <w:marLeft w:val="4553"/>
          <w:marRight w:val="4553"/>
          <w:marTop w:val="0"/>
          <w:marBottom w:val="0"/>
          <w:divBdr>
            <w:top w:val="single" w:sz="2" w:space="0" w:color="auto"/>
            <w:left w:val="single" w:sz="2" w:space="0" w:color="auto"/>
            <w:bottom w:val="single" w:sz="2" w:space="0" w:color="auto"/>
            <w:right w:val="single" w:sz="2" w:space="0" w:color="auto"/>
          </w:divBdr>
          <w:divsChild>
            <w:div w:id="19571773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06194416">
      <w:bodyDiv w:val="1"/>
      <w:marLeft w:val="0"/>
      <w:marRight w:val="0"/>
      <w:marTop w:val="0"/>
      <w:marBottom w:val="0"/>
      <w:divBdr>
        <w:top w:val="none" w:sz="0" w:space="0" w:color="auto"/>
        <w:left w:val="none" w:sz="0" w:space="0" w:color="auto"/>
        <w:bottom w:val="none" w:sz="0" w:space="0" w:color="auto"/>
        <w:right w:val="none" w:sz="0" w:space="0" w:color="auto"/>
      </w:divBdr>
      <w:divsChild>
        <w:div w:id="1411004722">
          <w:marLeft w:val="4553"/>
          <w:marRight w:val="4553"/>
          <w:marTop w:val="0"/>
          <w:marBottom w:val="0"/>
          <w:divBdr>
            <w:top w:val="single" w:sz="2" w:space="0" w:color="auto"/>
            <w:left w:val="single" w:sz="2" w:space="0" w:color="auto"/>
            <w:bottom w:val="single" w:sz="2" w:space="0" w:color="auto"/>
            <w:right w:val="single" w:sz="2" w:space="0" w:color="auto"/>
          </w:divBdr>
          <w:divsChild>
            <w:div w:id="534737647">
              <w:marLeft w:val="0"/>
              <w:marRight w:val="0"/>
              <w:marTop w:val="0"/>
              <w:marBottom w:val="0"/>
              <w:divBdr>
                <w:top w:val="single" w:sz="2" w:space="0" w:color="auto"/>
                <w:left w:val="single" w:sz="2" w:space="0" w:color="auto"/>
                <w:bottom w:val="single" w:sz="2" w:space="0" w:color="auto"/>
                <w:right w:val="single" w:sz="2" w:space="0" w:color="auto"/>
              </w:divBdr>
            </w:div>
          </w:divsChild>
        </w:div>
        <w:div w:id="827014910">
          <w:marLeft w:val="4553"/>
          <w:marRight w:val="4553"/>
          <w:marTop w:val="0"/>
          <w:marBottom w:val="0"/>
          <w:divBdr>
            <w:top w:val="single" w:sz="2" w:space="0" w:color="auto"/>
            <w:left w:val="single" w:sz="2" w:space="0" w:color="auto"/>
            <w:bottom w:val="single" w:sz="2" w:space="0" w:color="auto"/>
            <w:right w:val="single" w:sz="2" w:space="0" w:color="auto"/>
          </w:divBdr>
          <w:divsChild>
            <w:div w:id="10509601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8548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early-years-toolkit/self-regulation-strategies" TargetMode="External"/><Relationship Id="rId13" Type="http://schemas.openxmlformats.org/officeDocument/2006/relationships/hyperlink" Target="https://educationendowmentfoundation.org.uk/education-evidence/guidance-reports/literacy-ks-1" TargetMode="External"/><Relationship Id="rId18" Type="http://schemas.openxmlformats.org/officeDocument/2006/relationships/hyperlink" Target="https://educationendowmentfoundation.org.uk/education-evidence/early-years-toolkit/early-literacy-approaches" TargetMode="External"/><Relationship Id="rId26" Type="http://schemas.openxmlformats.org/officeDocument/2006/relationships/hyperlink" Target="https://educationendowmentfoundation.org.uk/projects-and-evaluation/projects/act-sing-play" TargetMode="External"/><Relationship Id="rId3" Type="http://schemas.openxmlformats.org/officeDocument/2006/relationships/settings" Target="settings.xml"/><Relationship Id="rId21" Type="http://schemas.openxmlformats.org/officeDocument/2006/relationships/hyperlink" Target="file://\\chaucer.local\Profiles\Office\cmurphy\Documents\ducationendowmentfoundation.org.uk\education-evidence\teaching-learning-toolkit\small-group-tuition?utm_source=\education-evidence\teaching-learning-toolkit\small-group-tuition&amp;utm_medium=search&amp;utm_campaign=site_searchh&amp;search_term" TargetMode="External"/><Relationship Id="rId7" Type="http://schemas.openxmlformats.org/officeDocument/2006/relationships/hyperlink" Target="https://educationendowmentfoundation.org.uk/education-evidence/teaching-learning-toolkit/social-and-emotional-learning" TargetMode="Externa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hyperlink" Target="https://educationendowmentfoundation.org.uk/education-evidence/guidance-reports/literacy-ks-1" TargetMode="External"/><Relationship Id="rId25" Type="http://schemas.openxmlformats.org/officeDocument/2006/relationships/hyperlink" Target="https://d2tic4wvo1iusb.cloudfront.net/documents/projects/Attendance-REA-protocol-21092021.pdf" TargetMode="External"/><Relationship Id="rId2" Type="http://schemas.openxmlformats.org/officeDocument/2006/relationships/styles" Target="styles.xml"/><Relationship Id="rId16" Type="http://schemas.openxmlformats.org/officeDocument/2006/relationships/hyperlink" Target="https://educationendowmentfoundation.org.uk/education-evidence/early-years-toolkit/extra-hours?utm_source=/education-evidence/early-years-toolkit/extra-hours&amp;utm_medium=search&amp;utm_campaign=site_searchh&amp;search_term" TargetMode="External"/><Relationship Id="rId20" Type="http://schemas.openxmlformats.org/officeDocument/2006/relationships/hyperlink" Target="https://d2tic4wvo1iusb.cloudfront.net/eef-guidance-reports/send/EEF_High_Quality_Teaching_for_Pupils_with_SEND.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hoosing-a-phonics-teaching-programme" TargetMode="External"/><Relationship Id="rId24" Type="http://schemas.openxmlformats.org/officeDocument/2006/relationships/hyperlink" Target="https://www.gov.uk/government/publications/school-attendance/framework-for-securing-full-attendance-actions-for-schools-and-local-authorities"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early-years-toolkit/earlier-starting-age" TargetMode="External"/><Relationship Id="rId23" Type="http://schemas.openxmlformats.org/officeDocument/2006/relationships/hyperlink" Target="https://educationendowmentfoundation.org.uk/education-evidence/teaching-learning-toolkit/individualised-instruction" TargetMode="External"/><Relationship Id="rId28" Type="http://schemas.openxmlformats.org/officeDocument/2006/relationships/header" Target="header1.xml"/><Relationship Id="rId10" Type="http://schemas.openxmlformats.org/officeDocument/2006/relationships/hyperlink" Target="https://educationendowmentfoundation.org.uk/tools/assessing-and-monitoring-pupil-progress/testing/standardised-tests/" TargetMode="External"/><Relationship Id="rId19" Type="http://schemas.openxmlformats.org/officeDocument/2006/relationships/hyperlink" Target="https://d2tic4wvo1iusb.cloudfront.net/eef-guidance-reports/send/EEF_Effective_parental_engagement_for_pupils_with_SEND.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endowmentfoundation.org.uk/public/files/Publications/SEL/EEF_Social_and_Emotional_Learning.pdf" TargetMode="External"/><Relationship Id="rId14" Type="http://schemas.openxmlformats.org/officeDocument/2006/relationships/hyperlink" Target="https://d2tic4wvo1iusb.cloudfront.net/guidance-reports/literacy-ks-1/Supporting_oral_language_development.pdf" TargetMode="External"/><Relationship Id="rId22" Type="http://schemas.openxmlformats.org/officeDocument/2006/relationships/hyperlink" Target="https://educationendowmentfoundation.org.uk/evidence-summaries/teaching-learning-toolkit/phonics/" TargetMode="External"/><Relationship Id="rId27" Type="http://schemas.openxmlformats.org/officeDocument/2006/relationships/hyperlink" Target="https://educationendowmentfoundation.org.uk/education-evidence/teaching-learning-toolkit/social-and-emotional-learn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Murphy, Claire</cp:lastModifiedBy>
  <cp:revision>2</cp:revision>
  <cp:lastPrinted>2021-11-24T15:22:00Z</cp:lastPrinted>
  <dcterms:created xsi:type="dcterms:W3CDTF">2022-09-21T07:28:00Z</dcterms:created>
  <dcterms:modified xsi:type="dcterms:W3CDTF">2022-09-21T07:28:00Z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